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61154" w:rsidRDefault="00761154"/>
    <w:tbl>
      <w:tblPr>
        <w:tblStyle w:val="5"/>
        <w:tblW w:w="15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50"/>
      </w:tblGrid>
      <w:tr w:rsidR="00761154" w:rsidTr="003A2A22">
        <w:trPr>
          <w:trHeight w:val="2220"/>
        </w:trPr>
        <w:tc>
          <w:tcPr>
            <w:tcW w:w="15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69E8" w:rsidRDefault="000D0B12" w:rsidP="00440EFF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</w:pPr>
            <w:r w:rsidRPr="000D0B12">
              <w:rPr>
                <w:rFonts w:ascii="Times New Roman" w:eastAsia="Times New Roman" w:hAnsi="Times New Roman" w:cs="Times New Roman"/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8084820</wp:posOffset>
                  </wp:positionH>
                  <wp:positionV relativeFrom="paragraph">
                    <wp:posOffset>151765</wp:posOffset>
                  </wp:positionV>
                  <wp:extent cx="1419225" cy="1059815"/>
                  <wp:effectExtent l="0" t="0" r="9525" b="6985"/>
                  <wp:wrapTight wrapText="bothSides">
                    <wp:wrapPolygon edited="0">
                      <wp:start x="0" y="0"/>
                      <wp:lineTo x="0" y="21354"/>
                      <wp:lineTo x="21455" y="21354"/>
                      <wp:lineTo x="21455" y="0"/>
                      <wp:lineTo x="0" y="0"/>
                    </wp:wrapPolygon>
                  </wp:wrapTight>
                  <wp:docPr id="4" name="Picture 4" descr="C:\Users\olyons\Pictures\AS Pictures\Foundation Investigations\Main 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yons\Pictures\AS Pictures\Foundation Investigations\Main 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B12">
              <w:rPr>
                <w:rFonts w:ascii="Calibri" w:eastAsia="Calibri" w:hAnsi="Calibri" w:cs="Calibri"/>
                <w:b/>
                <w:noProof/>
                <w:color w:val="1C4587"/>
                <w:sz w:val="36"/>
                <w:szCs w:val="36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6513830</wp:posOffset>
                  </wp:positionH>
                  <wp:positionV relativeFrom="paragraph">
                    <wp:posOffset>163830</wp:posOffset>
                  </wp:positionV>
                  <wp:extent cx="1425575" cy="1068705"/>
                  <wp:effectExtent l="0" t="0" r="3175" b="0"/>
                  <wp:wrapTight wrapText="bothSides">
                    <wp:wrapPolygon edited="0">
                      <wp:start x="0" y="0"/>
                      <wp:lineTo x="0" y="21176"/>
                      <wp:lineTo x="21359" y="21176"/>
                      <wp:lineTo x="21359" y="0"/>
                      <wp:lineTo x="0" y="0"/>
                    </wp:wrapPolygon>
                  </wp:wrapTight>
                  <wp:docPr id="3" name="Picture 3" descr="C:\Users\olyons\Pictures\AS Pictures\Labyrinth\Labyrinth Blessing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lyons\Pictures\AS Pictures\Labyrinth\Labyrinth Blessing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C4274">
              <w:rPr>
                <w:rFonts w:ascii="Calibri" w:eastAsia="Calibri" w:hAnsi="Calibri" w:cs="Calibri"/>
                <w:b/>
                <w:noProof/>
                <w:color w:val="1C4587"/>
                <w:sz w:val="36"/>
                <w:szCs w:val="36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4954905</wp:posOffset>
                  </wp:positionH>
                  <wp:positionV relativeFrom="paragraph">
                    <wp:posOffset>165735</wp:posOffset>
                  </wp:positionV>
                  <wp:extent cx="1397000" cy="1047750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1207" y="21207"/>
                      <wp:lineTo x="21207" y="0"/>
                      <wp:lineTo x="0" y="0"/>
                    </wp:wrapPolygon>
                  </wp:wrapTight>
                  <wp:docPr id="2" name="Picture 2" descr="C:\Users\olyons\Pictures\AS Pictures\Camps\Year 4 camp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yons\Pictures\AS Pictures\Camps\Year 4 camp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0EFF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28BAD49" wp14:editId="0383A89C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1905</wp:posOffset>
                  </wp:positionV>
                  <wp:extent cx="1238250" cy="141160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S_FinalLogo-1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411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2882"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 xml:space="preserve"> </w:t>
            </w:r>
          </w:p>
          <w:p w:rsidR="000D0B12" w:rsidRDefault="000D0B12" w:rsidP="00440EFF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 xml:space="preserve">      </w:t>
            </w:r>
            <w:r w:rsidR="00440EFF"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 xml:space="preserve">All Saints Parish School </w:t>
            </w:r>
          </w:p>
          <w:p w:rsidR="00761154" w:rsidRPr="000D0B12" w:rsidRDefault="000D0B12" w:rsidP="000D0B12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 xml:space="preserve">     Strategic Plan </w:t>
            </w:r>
            <w:r w:rsidR="00576FF0"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>2017-2020</w:t>
            </w:r>
            <w:r w:rsidR="00AC4274">
              <w:rPr>
                <w:rFonts w:ascii="Times New Roman" w:eastAsia="Times New Roman" w:hAnsi="Times New Roman" w:cs="Times New Roman"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0D0B12" w:rsidRDefault="000D0B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0D0B12" w:rsidRPr="008A2FDB" w:rsidRDefault="000D0B1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</w:p>
          <w:p w:rsidR="000D0B12" w:rsidRPr="008A2FDB" w:rsidRDefault="008A2FDB" w:rsidP="000D0B12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   </w:t>
            </w:r>
            <w:r w:rsidR="000D0B12" w:rsidRPr="008A2FD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He Teaches; We Nurture; Together We Inspire!</w:t>
            </w:r>
          </w:p>
        </w:tc>
      </w:tr>
    </w:tbl>
    <w:p w:rsidR="00761154" w:rsidRDefault="00761154" w:rsidP="000D0B12"/>
    <w:tbl>
      <w:tblPr>
        <w:tblStyle w:val="4"/>
        <w:tblW w:w="15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80"/>
        <w:gridCol w:w="3150"/>
        <w:gridCol w:w="8820"/>
      </w:tblGrid>
      <w:tr w:rsidR="00576FF0" w:rsidTr="001A515D">
        <w:trPr>
          <w:trHeight w:val="420"/>
        </w:trPr>
        <w:tc>
          <w:tcPr>
            <w:tcW w:w="3680" w:type="dxa"/>
            <w:shd w:val="clear" w:color="auto" w:fill="FBE4D5" w:themeFill="accen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6FF0" w:rsidRPr="008A2FDB" w:rsidRDefault="00576FF0">
            <w:pPr>
              <w:widowControl w:val="0"/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8A2FD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Key Priorities </w:t>
            </w:r>
          </w:p>
        </w:tc>
        <w:tc>
          <w:tcPr>
            <w:tcW w:w="3150" w:type="dxa"/>
            <w:shd w:val="clear" w:color="auto" w:fill="FBE4D5" w:themeFill="accent2" w:themeFillTint="33"/>
          </w:tcPr>
          <w:p w:rsidR="00576FF0" w:rsidRPr="008A2FDB" w:rsidRDefault="00576FF0" w:rsidP="00274BB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2FDB">
              <w:rPr>
                <w:rFonts w:asciiTheme="minorHAnsi" w:hAnsiTheme="minorHAnsi" w:cstheme="minorHAnsi"/>
                <w:b/>
                <w:sz w:val="28"/>
                <w:szCs w:val="28"/>
              </w:rPr>
              <w:t>Links to relevant Key Aspects of Schooling</w:t>
            </w:r>
          </w:p>
        </w:tc>
        <w:tc>
          <w:tcPr>
            <w:tcW w:w="8820" w:type="dxa"/>
            <w:shd w:val="clear" w:color="auto" w:fill="FBE4D5" w:themeFill="accen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6FF0" w:rsidRPr="008A2FDB" w:rsidRDefault="00576FF0" w:rsidP="00274BB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8A2FDB">
              <w:rPr>
                <w:rFonts w:asciiTheme="minorHAnsi" w:hAnsiTheme="minorHAnsi" w:cstheme="minorHAnsi"/>
                <w:b/>
                <w:sz w:val="28"/>
                <w:szCs w:val="28"/>
              </w:rPr>
              <w:t>Proposed Strategies to Implement over 2017-2019</w:t>
            </w:r>
          </w:p>
        </w:tc>
      </w:tr>
      <w:tr w:rsidR="00576FF0" w:rsidTr="001A515D">
        <w:tc>
          <w:tcPr>
            <w:tcW w:w="3680" w:type="dxa"/>
            <w:shd w:val="clear" w:color="auto" w:fill="FFC000" w:themeFill="accent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3B7" w:rsidRPr="006D03B7" w:rsidRDefault="006D03B7" w:rsidP="00576FF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D03B7">
              <w:rPr>
                <w:rFonts w:ascii="Calibri" w:hAnsi="Calibri"/>
                <w:b/>
              </w:rPr>
              <w:t>We will empower students to live the Gospel values through active response and a commitment to the common good.</w:t>
            </w:r>
          </w:p>
        </w:tc>
        <w:tc>
          <w:tcPr>
            <w:tcW w:w="3150" w:type="dxa"/>
          </w:tcPr>
          <w:p w:rsidR="001A515D" w:rsidRDefault="001A515D" w:rsidP="001619D7">
            <w:pPr>
              <w:spacing w:line="240" w:lineRule="auto"/>
              <w:rPr>
                <w:rFonts w:asciiTheme="minorHAnsi" w:hAnsiTheme="minorHAnsi"/>
                <w:b/>
                <w:color w:val="FFC000" w:themeColor="accent4"/>
                <w:sz w:val="24"/>
                <w:szCs w:val="24"/>
              </w:rPr>
            </w:pPr>
            <w:r w:rsidRPr="008A2FDB">
              <w:rPr>
                <w:rFonts w:asciiTheme="minorHAnsi" w:hAnsiTheme="minorHAnsi"/>
                <w:b/>
                <w:color w:val="ED7D31" w:themeColor="accent2"/>
                <w:sz w:val="24"/>
                <w:szCs w:val="24"/>
              </w:rPr>
              <w:t>Vision and Mission</w:t>
            </w:r>
            <w:r w:rsidRPr="008A2FDB">
              <w:rPr>
                <w:rFonts w:asciiTheme="minorHAnsi" w:hAnsiTheme="minorHAnsi"/>
                <w:b/>
                <w:color w:val="FFC000" w:themeColor="accent4"/>
                <w:sz w:val="24"/>
                <w:szCs w:val="24"/>
              </w:rPr>
              <w:t xml:space="preserve"> </w:t>
            </w:r>
          </w:p>
          <w:p w:rsidR="001A515D" w:rsidRDefault="001A515D" w:rsidP="001619D7">
            <w:pPr>
              <w:spacing w:line="240" w:lineRule="auto"/>
              <w:rPr>
                <w:rFonts w:asciiTheme="minorHAnsi" w:hAnsiTheme="minorHAnsi"/>
                <w:b/>
                <w:color w:val="FFC000" w:themeColor="accent4"/>
                <w:sz w:val="24"/>
                <w:szCs w:val="24"/>
              </w:rPr>
            </w:pPr>
          </w:p>
          <w:p w:rsidR="001619D7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FFC000" w:themeColor="accent4"/>
                <w:sz w:val="24"/>
                <w:szCs w:val="24"/>
              </w:rPr>
            </w:pPr>
            <w:r w:rsidRPr="008A2FDB">
              <w:rPr>
                <w:rFonts w:asciiTheme="minorHAnsi" w:hAnsiTheme="minorHAnsi"/>
                <w:b/>
                <w:color w:val="FFC000" w:themeColor="accent4"/>
                <w:sz w:val="24"/>
                <w:szCs w:val="24"/>
              </w:rPr>
              <w:t>Catholic School Culture</w:t>
            </w:r>
          </w:p>
          <w:p w:rsidR="001A515D" w:rsidRPr="00B5547F" w:rsidRDefault="001A515D" w:rsidP="001A515D">
            <w:pPr>
              <w:ind w:left="360" w:hanging="213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1.1 Religious Education</w:t>
            </w:r>
          </w:p>
          <w:p w:rsidR="001A515D" w:rsidRPr="00B5547F" w:rsidRDefault="001A515D" w:rsidP="001A515D">
            <w:pPr>
              <w:ind w:left="360" w:hanging="213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1.2 Catholic Identity</w:t>
            </w:r>
          </w:p>
          <w:p w:rsidR="001A515D" w:rsidRPr="00B5547F" w:rsidRDefault="001A515D" w:rsidP="001A515D">
            <w:pPr>
              <w:ind w:left="360" w:hanging="213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1.3 Social Action and Justice</w:t>
            </w:r>
          </w:p>
          <w:p w:rsidR="001A515D" w:rsidRPr="00B5547F" w:rsidRDefault="001A515D" w:rsidP="001619D7">
            <w:pPr>
              <w:spacing w:line="240" w:lineRule="auto"/>
              <w:rPr>
                <w:rFonts w:asciiTheme="minorHAnsi" w:hAnsiTheme="minorHAnsi"/>
                <w:b/>
                <w:color w:val="FFC000" w:themeColor="accent4"/>
                <w:sz w:val="24"/>
                <w:szCs w:val="24"/>
              </w:rPr>
            </w:pPr>
          </w:p>
          <w:p w:rsidR="001619D7" w:rsidRPr="00B5547F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4472C4" w:themeColor="accent5"/>
                <w:sz w:val="24"/>
                <w:szCs w:val="24"/>
              </w:rPr>
            </w:pPr>
            <w:r w:rsidRPr="00B5547F">
              <w:rPr>
                <w:rFonts w:asciiTheme="minorHAnsi" w:hAnsiTheme="minorHAnsi"/>
                <w:b/>
                <w:color w:val="4472C4" w:themeColor="accent5"/>
                <w:sz w:val="24"/>
                <w:szCs w:val="24"/>
              </w:rPr>
              <w:t>Learning and Teaching</w:t>
            </w:r>
          </w:p>
          <w:p w:rsidR="001A515D" w:rsidRPr="00B5547F" w:rsidRDefault="001A515D" w:rsidP="001A515D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4.1 A Guaranteed and Viable Curriculum</w:t>
            </w:r>
          </w:p>
          <w:p w:rsidR="001A515D" w:rsidRPr="00B5547F" w:rsidRDefault="001A515D" w:rsidP="001A515D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4.2 Effective Teaching</w:t>
            </w:r>
          </w:p>
          <w:p w:rsidR="001A515D" w:rsidRPr="00B5547F" w:rsidRDefault="001A515D" w:rsidP="001A515D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4.3 Engaging Students in Their own Learning</w:t>
            </w:r>
          </w:p>
          <w:p w:rsidR="001A515D" w:rsidRPr="00B5547F" w:rsidRDefault="001A515D" w:rsidP="001A515D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4.4 Analysis and Use of Data</w:t>
            </w:r>
          </w:p>
          <w:p w:rsidR="001A515D" w:rsidRPr="00B5547F" w:rsidRDefault="001A515D" w:rsidP="001619D7">
            <w:pPr>
              <w:spacing w:line="240" w:lineRule="auto"/>
              <w:rPr>
                <w:rFonts w:asciiTheme="minorHAnsi" w:hAnsiTheme="minorHAnsi"/>
                <w:b/>
                <w:color w:val="4472C4" w:themeColor="accent5"/>
                <w:sz w:val="24"/>
                <w:szCs w:val="24"/>
              </w:rPr>
            </w:pPr>
          </w:p>
          <w:p w:rsidR="001619D7" w:rsidRPr="00B5547F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70AD47" w:themeColor="accent6"/>
                <w:sz w:val="24"/>
                <w:szCs w:val="24"/>
              </w:rPr>
            </w:pPr>
            <w:r w:rsidRPr="00B5547F">
              <w:rPr>
                <w:rFonts w:asciiTheme="minorHAnsi" w:hAnsiTheme="minorHAnsi"/>
                <w:b/>
                <w:color w:val="70AD47" w:themeColor="accent6"/>
                <w:sz w:val="24"/>
                <w:szCs w:val="24"/>
              </w:rPr>
              <w:t>Community Engagement</w:t>
            </w:r>
          </w:p>
          <w:p w:rsidR="001A515D" w:rsidRPr="00B5547F" w:rsidRDefault="001A515D" w:rsidP="001A515D">
            <w:pPr>
              <w:ind w:left="365" w:hanging="218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2.1 Partnering with Families</w:t>
            </w:r>
          </w:p>
          <w:p w:rsidR="001A515D" w:rsidRDefault="001A515D" w:rsidP="001A515D">
            <w:pPr>
              <w:ind w:left="365" w:hanging="218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2.2 Community Partnerships</w:t>
            </w:r>
            <w:r>
              <w:rPr>
                <w:rFonts w:ascii="Calibri" w:hAnsi="Calibri" w:cstheme="minorHAnsi"/>
              </w:rPr>
              <w:t xml:space="preserve"> </w:t>
            </w:r>
          </w:p>
          <w:p w:rsidR="001A515D" w:rsidRPr="008A2FDB" w:rsidRDefault="001A515D" w:rsidP="001619D7">
            <w:pPr>
              <w:spacing w:line="240" w:lineRule="auto"/>
              <w:rPr>
                <w:rFonts w:asciiTheme="minorHAnsi" w:hAnsiTheme="minorHAnsi"/>
                <w:b/>
                <w:color w:val="70AD47" w:themeColor="accent6"/>
                <w:sz w:val="24"/>
                <w:szCs w:val="24"/>
              </w:rPr>
            </w:pPr>
          </w:p>
          <w:p w:rsidR="001619D7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  <w:r w:rsidRPr="008A2FDB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Leadership/ Stewardship</w:t>
            </w:r>
          </w:p>
          <w:p w:rsidR="001A515D" w:rsidRDefault="001A515D" w:rsidP="001A515D">
            <w:pPr>
              <w:ind w:left="5" w:firstLine="142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3.1 Shared Leadership</w:t>
            </w:r>
          </w:p>
          <w:p w:rsidR="001A515D" w:rsidRDefault="001A515D" w:rsidP="001A515D">
            <w:pPr>
              <w:ind w:left="5" w:firstLine="142"/>
              <w:rPr>
                <w:rFonts w:ascii="Calibri" w:hAnsi="Calibri" w:cstheme="minorHAnsi"/>
              </w:rPr>
            </w:pPr>
            <w:r w:rsidRPr="00666AC9">
              <w:rPr>
                <w:rFonts w:ascii="Calibri" w:hAnsi="Calibri" w:cstheme="minorHAnsi"/>
                <w:highlight w:val="cyan"/>
              </w:rPr>
              <w:t>3.2 Building Staff Capacity</w:t>
            </w:r>
          </w:p>
          <w:p w:rsidR="001A515D" w:rsidRPr="008A2FDB" w:rsidRDefault="001A515D" w:rsidP="001619D7">
            <w:pPr>
              <w:spacing w:line="240" w:lineRule="auto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</w:p>
          <w:p w:rsidR="001619D7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7030A0"/>
                <w:sz w:val="24"/>
                <w:szCs w:val="24"/>
              </w:rPr>
            </w:pPr>
            <w:r w:rsidRPr="008A2FDB">
              <w:rPr>
                <w:rFonts w:asciiTheme="minorHAnsi" w:hAnsiTheme="minorHAnsi"/>
                <w:b/>
                <w:color w:val="7030A0"/>
                <w:sz w:val="24"/>
                <w:szCs w:val="24"/>
              </w:rPr>
              <w:t>Wellbeing</w:t>
            </w:r>
          </w:p>
          <w:p w:rsidR="001A515D" w:rsidRDefault="001A515D" w:rsidP="001A515D">
            <w:pPr>
              <w:ind w:left="147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5.1 Quality Relationships</w:t>
            </w:r>
          </w:p>
          <w:p w:rsidR="001A515D" w:rsidRDefault="001A515D" w:rsidP="001A515D">
            <w:pPr>
              <w:ind w:left="147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5.3 Safe Learning Environment</w:t>
            </w:r>
          </w:p>
          <w:p w:rsidR="00576FF0" w:rsidRPr="001A515D" w:rsidRDefault="001A515D" w:rsidP="001A515D">
            <w:pPr>
              <w:ind w:left="147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5.4 Rights and Responsibilities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1D7" w:rsidRPr="00C711D7" w:rsidRDefault="00C711D7" w:rsidP="003D6DA5">
            <w:pPr>
              <w:pStyle w:val="ListParagraph"/>
              <w:numPr>
                <w:ilvl w:val="0"/>
                <w:numId w:val="1"/>
              </w:numPr>
              <w:spacing w:line="240" w:lineRule="auto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Ensure that all school curriculum policies and procedures </w:t>
            </w:r>
            <w:proofErr w:type="gramStart"/>
            <w:r>
              <w:rPr>
                <w:rFonts w:asciiTheme="minorHAnsi" w:hAnsiTheme="minorHAnsi"/>
              </w:rPr>
              <w:t>are explicitly linked</w:t>
            </w:r>
            <w:proofErr w:type="gramEnd"/>
            <w:r>
              <w:rPr>
                <w:rFonts w:asciiTheme="minorHAnsi" w:hAnsiTheme="minorHAnsi"/>
              </w:rPr>
              <w:t xml:space="preserve"> to the school’s Catholic Identity and Vision Statement.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"/>
              </w:numPr>
              <w:spacing w:line="240" w:lineRule="auto"/>
              <w:contextualSpacing w:val="0"/>
              <w:rPr>
                <w:rFonts w:asciiTheme="minorHAnsi" w:hAnsiTheme="minorHAnsi"/>
              </w:rPr>
            </w:pPr>
            <w:r w:rsidRPr="006101DE">
              <w:rPr>
                <w:rFonts w:asciiTheme="minorHAnsi" w:hAnsiTheme="minorHAnsi"/>
              </w:rPr>
              <w:t>Make our Catholic faith and heritage explicit throughout the physical environment of the school and raise awareness of the Catholic history in the wider community. For example, develop a sacred space and share our history.</w:t>
            </w:r>
          </w:p>
          <w:p w:rsidR="006101DE" w:rsidRPr="006101DE" w:rsidRDefault="006101DE" w:rsidP="003D6DA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Verdana"/>
                <w:color w:val="262626"/>
              </w:rPr>
            </w:pPr>
            <w:r w:rsidRPr="006101DE">
              <w:rPr>
                <w:rFonts w:asciiTheme="minorHAnsi" w:hAnsiTheme="minorHAnsi"/>
              </w:rPr>
              <w:t xml:space="preserve">Set up structures that enable the students to link their learning of Catholic Social Teaching with actions and involvement in the wider community. This </w:t>
            </w:r>
            <w:proofErr w:type="gramStart"/>
            <w:r w:rsidRPr="006101DE">
              <w:rPr>
                <w:rFonts w:asciiTheme="minorHAnsi" w:hAnsiTheme="minorHAnsi"/>
              </w:rPr>
              <w:t>will be enhanced</w:t>
            </w:r>
            <w:proofErr w:type="gramEnd"/>
            <w:r w:rsidRPr="006101DE">
              <w:rPr>
                <w:rFonts w:asciiTheme="minorHAnsi" w:hAnsiTheme="minorHAnsi"/>
              </w:rPr>
              <w:t xml:space="preserve"> with improved communication of events on a yearly/termly calendar.</w:t>
            </w:r>
          </w:p>
          <w:p w:rsidR="006101DE" w:rsidRPr="006101DE" w:rsidRDefault="006101DE" w:rsidP="003D6DA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Verdana"/>
                <w:color w:val="262626"/>
              </w:rPr>
            </w:pPr>
            <w:r w:rsidRPr="006101DE">
              <w:rPr>
                <w:rFonts w:ascii="Calibri" w:hAnsi="Calibri" w:cstheme="minorHAnsi"/>
              </w:rPr>
              <w:t xml:space="preserve">Teach religion with a Post Critical Belief approach and develop a Dialogue School where all faiths </w:t>
            </w:r>
            <w:proofErr w:type="gramStart"/>
            <w:r w:rsidRPr="006101DE">
              <w:rPr>
                <w:rFonts w:ascii="Calibri" w:hAnsi="Calibri" w:cstheme="minorHAnsi"/>
              </w:rPr>
              <w:t>are connected</w:t>
            </w:r>
            <w:proofErr w:type="gramEnd"/>
            <w:r w:rsidRPr="006101DE">
              <w:rPr>
                <w:rFonts w:ascii="Calibri" w:hAnsi="Calibri" w:cstheme="minorHAnsi"/>
              </w:rPr>
              <w:t xml:space="preserve"> through the Gospel message.</w:t>
            </w:r>
          </w:p>
          <w:p w:rsidR="006101DE" w:rsidRPr="006101DE" w:rsidRDefault="006101DE" w:rsidP="003D6DA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Verdana"/>
                <w:color w:val="262626"/>
              </w:rPr>
            </w:pPr>
            <w:r w:rsidRPr="006101DE">
              <w:rPr>
                <w:rFonts w:ascii="Calibri" w:hAnsi="Calibri" w:cstheme="minorHAnsi"/>
              </w:rPr>
              <w:t>Develop an understanding of the ECSI scales and their applications within the school and parish context.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"/>
              </w:numPr>
              <w:tabs>
                <w:tab w:val="left" w:pos="7305"/>
              </w:tabs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>Focus on the Life-Faith-Life teaching sequence especially in religion lessons.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"/>
              </w:numPr>
              <w:tabs>
                <w:tab w:val="left" w:pos="7305"/>
              </w:tabs>
              <w:rPr>
                <w:rFonts w:ascii="Calibri" w:hAnsi="Calibri" w:cstheme="minorHAnsi"/>
              </w:rPr>
            </w:pPr>
            <w:r w:rsidRPr="006101DE">
              <w:rPr>
                <w:rFonts w:ascii="Calibri" w:hAnsi="Calibri"/>
              </w:rPr>
              <w:t>Engage all students in social actions through: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Justice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 xml:space="preserve">Peace 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 xml:space="preserve">Ecological Conversion. 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1"/>
              </w:numPr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Provide Professional learning opportunities to develop staff skills and understandings in the following: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ECSI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lastRenderedPageBreak/>
              <w:t>Theology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Catholic Social Teachings.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12"/>
              </w:numPr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Explore ways to create a sense of sacred space with staff and students.</w:t>
            </w:r>
          </w:p>
          <w:p w:rsidR="006D03B7" w:rsidRPr="006D03B7" w:rsidRDefault="006D03B7" w:rsidP="006D03B7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76FF0" w:rsidTr="008C78E5">
        <w:tc>
          <w:tcPr>
            <w:tcW w:w="3680" w:type="dxa"/>
            <w:shd w:val="clear" w:color="auto" w:fill="F4B083" w:themeFill="accen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3B7" w:rsidRPr="006D03B7" w:rsidRDefault="006D03B7" w:rsidP="006D03B7">
            <w:pPr>
              <w:widowControl w:val="0"/>
              <w:tabs>
                <w:tab w:val="left" w:pos="858"/>
                <w:tab w:val="left" w:pos="859"/>
              </w:tabs>
              <w:autoSpaceDE w:val="0"/>
              <w:autoSpaceDN w:val="0"/>
              <w:spacing w:after="240"/>
              <w:ind w:right="132"/>
              <w:rPr>
                <w:rFonts w:ascii="Calibri" w:hAnsi="Calibri" w:cstheme="minorHAnsi"/>
                <w:b/>
              </w:rPr>
            </w:pPr>
            <w:r w:rsidRPr="006D03B7">
              <w:rPr>
                <w:rFonts w:ascii="Calibri" w:hAnsi="Calibri" w:cstheme="minorHAnsi"/>
                <w:b/>
              </w:rPr>
              <w:lastRenderedPageBreak/>
              <w:t xml:space="preserve">We will ensure that every student </w:t>
            </w:r>
            <w:proofErr w:type="gramStart"/>
            <w:r w:rsidRPr="006D03B7">
              <w:rPr>
                <w:rFonts w:ascii="Calibri" w:hAnsi="Calibri" w:cstheme="minorHAnsi"/>
                <w:b/>
              </w:rPr>
              <w:t>is engaged</w:t>
            </w:r>
            <w:proofErr w:type="gramEnd"/>
            <w:r w:rsidRPr="006D03B7">
              <w:rPr>
                <w:rFonts w:ascii="Calibri" w:hAnsi="Calibri" w:cstheme="minorHAnsi"/>
                <w:b/>
              </w:rPr>
              <w:t>, challenged and learning to high standards.</w:t>
            </w:r>
          </w:p>
          <w:p w:rsidR="006D03B7" w:rsidRPr="008A2FDB" w:rsidRDefault="006D03B7" w:rsidP="00576FF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1619D7" w:rsidRPr="00B5547F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  <w:r w:rsidRPr="00B5547F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Leadership/ Stewardship</w:t>
            </w:r>
          </w:p>
          <w:p w:rsidR="006D03B7" w:rsidRPr="00B5547F" w:rsidRDefault="006D03B7" w:rsidP="006D03B7">
            <w:pPr>
              <w:ind w:left="5" w:firstLine="142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3.1 Shared Leadership</w:t>
            </w:r>
          </w:p>
          <w:p w:rsidR="006D03B7" w:rsidRPr="00B5547F" w:rsidRDefault="006D03B7" w:rsidP="006D03B7">
            <w:pPr>
              <w:ind w:left="5" w:firstLine="142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3.2 Building Staff Capacity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3.4 Stewardship of Resources</w:t>
            </w:r>
          </w:p>
          <w:p w:rsidR="006D03B7" w:rsidRPr="00B5547F" w:rsidRDefault="006D03B7" w:rsidP="001619D7">
            <w:pPr>
              <w:spacing w:line="240" w:lineRule="auto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</w:p>
          <w:p w:rsidR="001619D7" w:rsidRPr="00B5547F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7030A0"/>
                <w:sz w:val="24"/>
                <w:szCs w:val="24"/>
              </w:rPr>
            </w:pPr>
            <w:r w:rsidRPr="00B5547F">
              <w:rPr>
                <w:rFonts w:asciiTheme="minorHAnsi" w:hAnsiTheme="minorHAnsi"/>
                <w:b/>
                <w:color w:val="7030A0"/>
                <w:sz w:val="24"/>
                <w:szCs w:val="24"/>
              </w:rPr>
              <w:t>Wellbeing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5.1 Quality Relationships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5.2 Wellbeing Practice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5.3 Safe Learning Environment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5.4 Rights and Responsibilities</w:t>
            </w:r>
          </w:p>
          <w:p w:rsidR="006D03B7" w:rsidRPr="00B5547F" w:rsidRDefault="006D03B7" w:rsidP="001619D7">
            <w:pPr>
              <w:spacing w:line="240" w:lineRule="auto"/>
              <w:rPr>
                <w:rFonts w:asciiTheme="minorHAnsi" w:hAnsiTheme="minorHAnsi"/>
                <w:b/>
                <w:color w:val="7030A0"/>
                <w:sz w:val="24"/>
                <w:szCs w:val="24"/>
              </w:rPr>
            </w:pPr>
          </w:p>
          <w:p w:rsidR="001619D7" w:rsidRPr="00B5547F" w:rsidRDefault="001619D7" w:rsidP="001619D7">
            <w:pPr>
              <w:spacing w:line="240" w:lineRule="auto"/>
              <w:rPr>
                <w:rFonts w:asciiTheme="minorHAnsi" w:hAnsiTheme="minorHAnsi"/>
                <w:b/>
                <w:color w:val="70AD47" w:themeColor="accent6"/>
                <w:sz w:val="24"/>
                <w:szCs w:val="24"/>
              </w:rPr>
            </w:pPr>
            <w:r w:rsidRPr="00B5547F">
              <w:rPr>
                <w:rFonts w:asciiTheme="minorHAnsi" w:hAnsiTheme="minorHAnsi"/>
                <w:b/>
                <w:color w:val="70AD47" w:themeColor="accent6"/>
                <w:sz w:val="24"/>
                <w:szCs w:val="24"/>
              </w:rPr>
              <w:t>Community Engagement</w:t>
            </w:r>
          </w:p>
          <w:p w:rsidR="006D03B7" w:rsidRPr="00B5547F" w:rsidRDefault="006D03B7" w:rsidP="006D03B7">
            <w:pPr>
              <w:ind w:left="365" w:hanging="218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2.1 Partnering with Families</w:t>
            </w:r>
          </w:p>
          <w:p w:rsidR="006D03B7" w:rsidRPr="00B5547F" w:rsidRDefault="006D03B7" w:rsidP="006D03B7">
            <w:pPr>
              <w:ind w:left="365" w:hanging="218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 xml:space="preserve">2.2 Community Partnerships </w:t>
            </w:r>
          </w:p>
          <w:p w:rsidR="00576FF0" w:rsidRPr="00B5547F" w:rsidRDefault="00576FF0" w:rsidP="00576FF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D03B7" w:rsidRPr="00B5547F" w:rsidRDefault="006D03B7" w:rsidP="006D03B7">
            <w:pPr>
              <w:spacing w:line="240" w:lineRule="auto"/>
              <w:rPr>
                <w:rFonts w:asciiTheme="minorHAnsi" w:hAnsiTheme="minorHAnsi"/>
                <w:b/>
                <w:color w:val="4472C4" w:themeColor="accent5"/>
                <w:sz w:val="24"/>
                <w:szCs w:val="24"/>
              </w:rPr>
            </w:pPr>
            <w:r w:rsidRPr="00B5547F">
              <w:rPr>
                <w:rFonts w:asciiTheme="minorHAnsi" w:hAnsiTheme="minorHAnsi"/>
                <w:b/>
                <w:color w:val="4472C4" w:themeColor="accent5"/>
                <w:sz w:val="24"/>
                <w:szCs w:val="24"/>
              </w:rPr>
              <w:t>Learning and Teaching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4.1 A Guaranteed and Viable Curriculum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4.2 Effective Teaching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4.3 Engaging Students in Their own Learning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lastRenderedPageBreak/>
              <w:t>4.4 Analysis and Use of Data</w:t>
            </w:r>
          </w:p>
          <w:p w:rsidR="006D03B7" w:rsidRPr="00B5547F" w:rsidRDefault="006D03B7" w:rsidP="006D03B7">
            <w:pPr>
              <w:ind w:left="147"/>
              <w:rPr>
                <w:rFonts w:ascii="Calibri" w:hAnsi="Calibri" w:cstheme="minorHAnsi"/>
              </w:rPr>
            </w:pPr>
            <w:r w:rsidRPr="00B5547F">
              <w:rPr>
                <w:rFonts w:ascii="Calibri" w:hAnsi="Calibri" w:cstheme="minorHAnsi"/>
              </w:rPr>
              <w:t>4.5 Coordinated Strategies for Intervention</w:t>
            </w:r>
          </w:p>
          <w:p w:rsidR="006D03B7" w:rsidRPr="00B5547F" w:rsidRDefault="006D03B7" w:rsidP="00576FF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1D7" w:rsidRPr="00C711D7" w:rsidRDefault="00C711D7" w:rsidP="003D6DA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60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Identify specific community </w:t>
            </w:r>
            <w:proofErr w:type="gramStart"/>
            <w:r>
              <w:rPr>
                <w:rFonts w:asciiTheme="minorHAnsi" w:hAnsiTheme="minorHAnsi"/>
              </w:rPr>
              <w:t>partnerships which</w:t>
            </w:r>
            <w:proofErr w:type="gramEnd"/>
            <w:r>
              <w:rPr>
                <w:rFonts w:asciiTheme="minorHAnsi" w:hAnsiTheme="minorHAnsi"/>
              </w:rPr>
              <w:t xml:space="preserve"> will engage and enhance student learning and wellbeing.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60"/>
              <w:contextualSpacing w:val="0"/>
              <w:rPr>
                <w:rFonts w:asciiTheme="minorHAnsi" w:hAnsiTheme="minorHAnsi"/>
              </w:rPr>
            </w:pPr>
            <w:r w:rsidRPr="006101DE">
              <w:rPr>
                <w:rFonts w:asciiTheme="minorHAnsi" w:hAnsiTheme="minorHAnsi"/>
              </w:rPr>
              <w:t>To streamline key events to increase achievable family involvement and engagement.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60"/>
              <w:contextualSpacing w:val="0"/>
              <w:rPr>
                <w:rFonts w:asciiTheme="minorHAnsi" w:hAnsiTheme="minorHAnsi"/>
                <w:b/>
              </w:rPr>
            </w:pPr>
            <w:r w:rsidRPr="006101DE">
              <w:rPr>
                <w:rFonts w:asciiTheme="minorHAnsi" w:hAnsiTheme="minorHAnsi"/>
              </w:rPr>
              <w:t>Enhance communication across all areas of our school community.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after="240"/>
              <w:ind w:left="360"/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>Improve classroom practice by developing sound research-based strategies.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after="240"/>
              <w:ind w:left="360"/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 xml:space="preserve">Become proficient at collaboratively triangulating data to identify student needs and accurately report to parents. </w:t>
            </w:r>
          </w:p>
          <w:p w:rsidR="006101DE" w:rsidRDefault="006101DE" w:rsidP="003D6DA5">
            <w:pPr>
              <w:pStyle w:val="ListParagraph"/>
              <w:numPr>
                <w:ilvl w:val="0"/>
                <w:numId w:val="2"/>
              </w:numPr>
              <w:spacing w:after="240"/>
              <w:ind w:left="360"/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 xml:space="preserve">Develop Essential Learnings and Proficiency Scales for all curriculum areas. </w:t>
            </w:r>
          </w:p>
          <w:p w:rsidR="00C711D7" w:rsidRPr="00C711D7" w:rsidRDefault="00C711D7" w:rsidP="003D6DA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60"/>
              <w:contextualSpacing w:val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Design and implement a continuum of professional learning that targets key learning areas for all staff.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 xml:space="preserve">Explore methods of increasing student voice and learning motivation. 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after="120"/>
              <w:ind w:left="360"/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>Plan and implement effective peer coaching.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after="120"/>
              <w:ind w:left="360"/>
              <w:rPr>
                <w:rFonts w:ascii="Calibri" w:hAnsi="Calibri"/>
                <w:color w:val="404040" w:themeColor="text1" w:themeTint="BF"/>
              </w:rPr>
            </w:pPr>
            <w:r w:rsidRPr="006101DE">
              <w:rPr>
                <w:rFonts w:ascii="Calibri" w:hAnsi="Calibri"/>
                <w:color w:val="404040" w:themeColor="text1" w:themeTint="BF"/>
              </w:rPr>
              <w:t>Create a whole school definition of engaging and stimulating learning.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Ensure students use rubrics and success criteria to monitor and assess their own learning.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Build growth mind set strategies across all year levels.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alibri" w:hAnsi="Calibri"/>
              </w:rPr>
            </w:pPr>
            <w:r w:rsidRPr="006101DE">
              <w:rPr>
                <w:rFonts w:ascii="Calibri" w:hAnsi="Calibri"/>
              </w:rPr>
              <w:t>Provide opportunities and structures for peer feedback.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after="120"/>
              <w:ind w:left="360"/>
              <w:rPr>
                <w:rFonts w:ascii="Calibri" w:hAnsi="Calibri" w:cstheme="minorHAnsi"/>
              </w:rPr>
            </w:pPr>
            <w:r w:rsidRPr="006101DE">
              <w:rPr>
                <w:rFonts w:ascii="Calibri" w:hAnsi="Calibri" w:cstheme="minorHAnsi"/>
              </w:rPr>
              <w:t>Build clear and coordinated strategies for intervention for students above and below expected levels.</w:t>
            </w:r>
          </w:p>
          <w:p w:rsidR="006101DE" w:rsidRPr="006101DE" w:rsidRDefault="006101DE" w:rsidP="003D6DA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60"/>
              <w:contextualSpacing w:val="0"/>
              <w:rPr>
                <w:rFonts w:asciiTheme="minorHAnsi" w:hAnsiTheme="minorHAnsi"/>
                <w:b/>
              </w:rPr>
            </w:pPr>
            <w:r w:rsidRPr="006101DE">
              <w:rPr>
                <w:rFonts w:ascii="Calibri" w:hAnsi="Calibri"/>
                <w:color w:val="404040" w:themeColor="text1" w:themeTint="BF"/>
              </w:rPr>
              <w:t>Enhance student wellbeing, resilience and cultural awareness.</w:t>
            </w:r>
          </w:p>
          <w:p w:rsidR="006D03B7" w:rsidRPr="006D03B7" w:rsidRDefault="006D03B7" w:rsidP="006D03B7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6C4AA1" w:rsidRDefault="006C4AA1"/>
    <w:p w:rsidR="00761750" w:rsidRDefault="00761750"/>
    <w:p w:rsidR="00B06916" w:rsidRDefault="00B06916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770725" w:rsidRDefault="00770725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770725" w:rsidRDefault="00770725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770725" w:rsidRDefault="00770725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770725" w:rsidRDefault="00770725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770725" w:rsidRDefault="00770725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770725" w:rsidRDefault="00770725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p w:rsidR="00BE7B32" w:rsidRPr="00B06916" w:rsidRDefault="00BE7B32" w:rsidP="00B06916">
      <w:pPr>
        <w:spacing w:before="100" w:beforeAutospacing="1" w:after="100" w:afterAutospacing="1" w:line="240" w:lineRule="auto"/>
        <w:textAlignment w:val="baseline"/>
        <w:rPr>
          <w:rFonts w:eastAsia="Times New Roman"/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3667"/>
        <w:gridCol w:w="5777"/>
        <w:gridCol w:w="3557"/>
      </w:tblGrid>
      <w:tr w:rsidR="00B06916" w:rsidRPr="00B06916" w:rsidTr="00B06916">
        <w:trPr>
          <w:trHeight w:val="44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262626"/>
                <w:sz w:val="48"/>
                <w:szCs w:val="48"/>
              </w:rPr>
              <w:lastRenderedPageBreak/>
              <w:t xml:space="preserve">2019 Annual Action </w:t>
            </w:r>
            <w:r>
              <w:rPr>
                <w:rFonts w:ascii="Calibri" w:eastAsia="Times New Roman" w:hAnsi="Calibri" w:cs="Calibri"/>
                <w:b/>
                <w:bCs/>
                <w:color w:val="262626"/>
                <w:sz w:val="48"/>
                <w:szCs w:val="48"/>
              </w:rPr>
              <w:t xml:space="preserve">Plan </w:t>
            </w:r>
          </w:p>
        </w:tc>
      </w:tr>
      <w:tr w:rsidR="00B06916" w:rsidRPr="00B06916" w:rsidTr="00B06916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School Improvement Framework: 2018 Priorities</w:t>
            </w:r>
          </w:p>
        </w:tc>
        <w:tc>
          <w:tcPr>
            <w:tcW w:w="3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Links to ‘5 Key Aspects of Catholic Schooling’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CHECS Links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Proposed Strategies for 2018</w:t>
            </w:r>
          </w:p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B06916" w:rsidRPr="00B06916" w:rsidTr="00B06916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Default="00B06916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We will empower students to live the Gospel values through active response and a commitment to the common good.</w:t>
            </w:r>
          </w:p>
          <w:p w:rsidR="006E0C24" w:rsidRPr="00B06916" w:rsidRDefault="006E0C24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6E0C24" w:rsidRDefault="00B06916" w:rsidP="006E0C24">
            <w:pPr>
              <w:spacing w:after="24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B0691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</w:r>
            <w:r w:rsidRPr="00B06916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We will ensure that every student </w:t>
            </w:r>
            <w:proofErr w:type="gramStart"/>
            <w:r w:rsidRPr="00B06916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is engaged</w:t>
            </w:r>
            <w:proofErr w:type="gramEnd"/>
            <w:r w:rsidRPr="00B06916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, challenged and learning to high standards.</w:t>
            </w:r>
          </w:p>
        </w:tc>
        <w:tc>
          <w:tcPr>
            <w:tcW w:w="3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>Vision and Mission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 </w:t>
            </w:r>
          </w:p>
          <w:p w:rsidR="006E0C24" w:rsidRPr="00B06916" w:rsidRDefault="006E0C24" w:rsidP="006E0C2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>Catholic School Culture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1.1 Religious</w:t>
            </w:r>
          </w:p>
          <w:p w:rsidR="006E0C24" w:rsidRPr="00B06916" w:rsidRDefault="006E0C24" w:rsidP="006E0C24">
            <w:pPr>
              <w:spacing w:line="240" w:lineRule="auto"/>
              <w:ind w:firstLine="4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Education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  <w:shd w:val="clear" w:color="auto" w:fill="FFFF00"/>
              </w:rPr>
              <w:t>1.2 Catholic Identity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D0A4E"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  <w:t>1.3 Social Action and Justice</w:t>
            </w:r>
          </w:p>
          <w:p w:rsidR="006E0C24" w:rsidRPr="00B06916" w:rsidRDefault="00BE7B32" w:rsidP="006E0C2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</w:r>
            <w:r w:rsidR="006E0C24"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>Leadership/ Stewardship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3.1 Shared Leadership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E0C24"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  <w:t>3.2 Building Staff Capacity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3.3 A Culture of Continuous Improvement</w:t>
            </w:r>
          </w:p>
          <w:p w:rsidR="006E0C24" w:rsidRPr="00B06916" w:rsidRDefault="006E0C24" w:rsidP="006E0C2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3.4 Stewardship of Resources</w:t>
            </w:r>
          </w:p>
          <w:p w:rsidR="00B06916" w:rsidRPr="00BE7B32" w:rsidRDefault="006E0C24" w:rsidP="00B0691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</w:r>
            <w:r w:rsidR="00B06916" w:rsidRPr="00B06916">
              <w:rPr>
                <w:rFonts w:ascii="Calibri" w:eastAsia="Times New Roman" w:hAnsi="Calibri" w:cs="Calibri"/>
                <w:b/>
                <w:bCs/>
                <w:color w:val="00B0F0"/>
                <w:sz w:val="24"/>
                <w:szCs w:val="24"/>
              </w:rPr>
              <w:t>Learning and Teaching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E0C24">
              <w:rPr>
                <w:rFonts w:ascii="Calibri" w:eastAsia="Times New Roman" w:hAnsi="Calibri" w:cs="Calibri"/>
                <w:sz w:val="24"/>
                <w:szCs w:val="24"/>
                <w:shd w:val="clear" w:color="auto" w:fill="FFFF00"/>
              </w:rPr>
              <w:t>4.1 A Guaranteed and Viable Curriculum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  <w:shd w:val="clear" w:color="auto" w:fill="FFFF00"/>
              </w:rPr>
              <w:t>4.2 Effective Teaching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4.3 Engaging Students in Their own Learning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4.4 Analysis and Use of Data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4.5 Coordinated Strategies for Intervention</w:t>
            </w:r>
          </w:p>
          <w:p w:rsidR="00B06916" w:rsidRPr="00BE7B32" w:rsidRDefault="00B06916" w:rsidP="00BE7B3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4472C4"/>
                <w:sz w:val="24"/>
                <w:szCs w:val="24"/>
              </w:rPr>
              <w:lastRenderedPageBreak/>
              <w:t xml:space="preserve"> </w:t>
            </w:r>
            <w:r w:rsidRPr="00B06916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</w:rPr>
              <w:t>Wellbeing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5.1 Quality Relationships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5.2 Wellbeing Practice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  <w:shd w:val="clear" w:color="auto" w:fill="FFFF00"/>
              </w:rPr>
              <w:t>5.3 Safe Learning Environment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lastRenderedPageBreak/>
              <w:t xml:space="preserve">Faithful to dialogue, the school’s Vision and Mission Statements </w:t>
            </w:r>
            <w:proofErr w:type="gramStart"/>
            <w:r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>are visually presented</w:t>
            </w:r>
            <w:proofErr w:type="gramEnd"/>
            <w:r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 xml:space="preserve"> in key areas of the school and school publications.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</w:pPr>
          </w:p>
          <w:p w:rsidR="004D0A4E" w:rsidRDefault="004D0A4E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</w:pPr>
          </w:p>
          <w:p w:rsidR="004D0A4E" w:rsidRDefault="004D0A4E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</w:pPr>
          </w:p>
          <w:p w:rsidR="00B06916" w:rsidRPr="00B06916" w:rsidRDefault="00BE7B3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>T</w:t>
            </w:r>
            <w:r w:rsidR="00B06916"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 xml:space="preserve">he school honours the charism of its congregational heritage and its part in the Catholic tradition, and </w:t>
            </w:r>
            <w:proofErr w:type="gramStart"/>
            <w:r w:rsidR="00B06916"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>may be expressed</w:t>
            </w:r>
            <w:proofErr w:type="gramEnd"/>
            <w:r w:rsidR="00B06916"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 xml:space="preserve"> in the Vision and Mission.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ED7D31"/>
                <w:sz w:val="24"/>
                <w:szCs w:val="24"/>
              </w:rPr>
              <w:t xml:space="preserve">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1.2 The school makes use of imagery, iconology, artwork and building design to enhance a </w:t>
            </w:r>
            <w:proofErr w:type="spellStart"/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>recontextualised</w:t>
            </w:r>
            <w:proofErr w:type="spellEnd"/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 understanding of the faith tradition.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Default="00B06916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1.2 The school exemplifies a commitment to </w:t>
            </w:r>
            <w:proofErr w:type="spellStart"/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>recontexutalising</w:t>
            </w:r>
            <w:proofErr w:type="spellEnd"/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 the Catholic faith tradition in the local context. </w:t>
            </w: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</w:pPr>
          </w:p>
          <w:p w:rsidR="004D0A4E" w:rsidRPr="004D0A4E" w:rsidRDefault="004D0A4E" w:rsidP="004D0A4E">
            <w:pPr>
              <w:spacing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</w:pPr>
            <w:r w:rsidRPr="004D0A4E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1.3 </w:t>
            </w:r>
            <w:r w:rsidRPr="004D0A4E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Catholic school communities respond to an invitation to engage in the mission of the Church in the world. This engagement </w:t>
            </w:r>
            <w:proofErr w:type="gramStart"/>
            <w:r w:rsidRPr="004D0A4E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>is reflected</w:t>
            </w:r>
            <w:proofErr w:type="gramEnd"/>
            <w:r w:rsidRPr="004D0A4E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 in living a life informed by the Gospel, and is reflected in teaching for, and witnessing to, justice, peace and ecological conversion</w:t>
            </w:r>
            <w:r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>.</w:t>
            </w:r>
          </w:p>
          <w:p w:rsidR="00BE7B32" w:rsidRPr="00B06916" w:rsidRDefault="00BE7B3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C000"/>
                <w:sz w:val="24"/>
                <w:szCs w:val="24"/>
              </w:rPr>
              <w:t xml:space="preserve"> </w:t>
            </w:r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 xml:space="preserve">3.1 The school has clear processes to identify and develop leaders with clearly designated roles and responsibilities to support these processes.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>3.1 The school works collaboratively with the Diocesan Education Community to build leadership capabilities across the diocese.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 xml:space="preserve">3.1 There are sound recruitment, induction and performance management processes in place.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 xml:space="preserve">3.2 School leaders ensure staff engage in professional learning that </w:t>
            </w:r>
            <w:proofErr w:type="gramStart"/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>is informed</w:t>
            </w:r>
            <w:proofErr w:type="gramEnd"/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 xml:space="preserve"> by research-based best practice.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 xml:space="preserve">3.2 The school has in place practices that engage staff in coaching and/or mentoring. </w:t>
            </w:r>
          </w:p>
          <w:p w:rsidR="00B06916" w:rsidRDefault="00B06916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 </w:t>
            </w:r>
          </w:p>
          <w:p w:rsidR="00B06916" w:rsidRPr="00B06916" w:rsidRDefault="00B06916" w:rsidP="00B06916">
            <w:pPr>
              <w:spacing w:after="240" w:line="240" w:lineRule="auto"/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4.1 Teachers have developed an agreed curriculum that is current, documented, relevant, needs based and rigorous.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4.1 The curriculum ensures there is continuity and progression across all years of schooling.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4.1 The school prioritises and plans to ensure curriculum that is relevant to all students.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>4.2 Teachers set clear and rigorous expectations for all learners.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4.2 There is a clear statement of the school’s agreed pedagogies.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4.2 Teachers use school-wide, research-based pedagogical practices to ensure that every student </w:t>
            </w:r>
            <w:proofErr w:type="gramStart"/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>is engaged</w:t>
            </w:r>
            <w:proofErr w:type="gramEnd"/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>, challenged and learning successfully.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6D9EEB"/>
                <w:sz w:val="24"/>
                <w:szCs w:val="24"/>
              </w:rPr>
              <w:t xml:space="preserve">4.2 Teachers engage in classroom observations, team-teaching, coaching partnerships and constructive feedback processes for professional growth in teaching practice. </w:t>
            </w:r>
          </w:p>
          <w:p w:rsidR="00B06916" w:rsidRDefault="00B06916" w:rsidP="00B0691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</w:rPr>
              <w:t xml:space="preserve">5.3 Students </w:t>
            </w:r>
            <w:proofErr w:type="gramStart"/>
            <w:r w:rsidRPr="00B06916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</w:rPr>
              <w:t>are engaged and motivated to learn</w:t>
            </w:r>
            <w:proofErr w:type="gramEnd"/>
            <w:r w:rsidRPr="00B06916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</w:rPr>
              <w:t>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To design Mission Statements to support the new Vision Statement.</w:t>
            </w:r>
          </w:p>
          <w:p w:rsidR="00B06916" w:rsidRPr="00B06916" w:rsidRDefault="00B06916" w:rsidP="00B06916">
            <w:pPr>
              <w:numPr>
                <w:ilvl w:val="0"/>
                <w:numId w:val="17"/>
              </w:numPr>
              <w:spacing w:after="20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Staff </w:t>
            </w:r>
            <w:r w:rsidR="004D0A4E">
              <w:rPr>
                <w:rFonts w:ascii="Calibri" w:eastAsia="Times New Roman" w:hAnsi="Calibri" w:cs="Calibri"/>
                <w:sz w:val="24"/>
                <w:szCs w:val="24"/>
              </w:rPr>
              <w:t>use</w:t>
            </w: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 the CHECS d</w:t>
            </w:r>
            <w:r w:rsidR="004D0A4E">
              <w:rPr>
                <w:rFonts w:ascii="Calibri" w:eastAsia="Times New Roman" w:hAnsi="Calibri" w:cs="Calibri"/>
                <w:sz w:val="24"/>
                <w:szCs w:val="24"/>
              </w:rPr>
              <w:t>ocument’s five characteristics to create mission statements</w:t>
            </w:r>
          </w:p>
          <w:p w:rsidR="00B06916" w:rsidRPr="00B06916" w:rsidRDefault="00B06916" w:rsidP="00CB04C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To raise the aware</w:t>
            </w:r>
            <w:r w:rsidR="00BE7B32">
              <w:rPr>
                <w:rFonts w:ascii="Calibri" w:eastAsia="Times New Roman" w:hAnsi="Calibri" w:cs="Calibri"/>
                <w:sz w:val="24"/>
                <w:szCs w:val="24"/>
              </w:rPr>
              <w:t>ness of the impact of the Loret</w:t>
            </w: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o Sisters and Mary </w:t>
            </w:r>
            <w:proofErr w:type="spellStart"/>
            <w:proofErr w:type="gramStart"/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MacKillop’s</w:t>
            </w:r>
            <w:proofErr w:type="spellEnd"/>
            <w:proofErr w:type="gramEnd"/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 in the school’s history.  </w:t>
            </w:r>
          </w:p>
          <w:p w:rsidR="00B06916" w:rsidRPr="00B06916" w:rsidRDefault="00B06916" w:rsidP="00CB04C2">
            <w:pPr>
              <w:numPr>
                <w:ilvl w:val="0"/>
                <w:numId w:val="18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Engage staff in a retreat experience to Penola (Mary </w:t>
            </w:r>
            <w:proofErr w:type="spellStart"/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MacKillop</w:t>
            </w:r>
            <w:proofErr w:type="spellEnd"/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 Centre)</w:t>
            </w:r>
          </w:p>
          <w:p w:rsidR="00B06916" w:rsidRPr="00B06916" w:rsidRDefault="00B06916" w:rsidP="00B06916">
            <w:pPr>
              <w:numPr>
                <w:ilvl w:val="0"/>
                <w:numId w:val="18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A graphic history will be displayed on the meeting room class wall</w:t>
            </w:r>
          </w:p>
          <w:p w:rsidR="00B06916" w:rsidRPr="00B06916" w:rsidRDefault="00B06916" w:rsidP="00B06916">
            <w:pPr>
              <w:numPr>
                <w:ilvl w:val="0"/>
                <w:numId w:val="18"/>
              </w:numPr>
              <w:spacing w:after="20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Closure Day with Justin Driscoll </w:t>
            </w:r>
            <w:r w:rsidR="00BE7B32">
              <w:rPr>
                <w:rFonts w:ascii="Calibri" w:eastAsia="Times New Roman" w:hAnsi="Calibri" w:cs="Calibri"/>
                <w:sz w:val="24"/>
                <w:szCs w:val="24"/>
              </w:rPr>
              <w:t>to examine Catholic Social Teachings</w:t>
            </w: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To develop leadership capabilities.</w:t>
            </w:r>
          </w:p>
          <w:p w:rsidR="00B06916" w:rsidRPr="00B06916" w:rsidRDefault="00B06916" w:rsidP="00B06916">
            <w:pPr>
              <w:numPr>
                <w:ilvl w:val="0"/>
                <w:numId w:val="19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CDLP (2 staff)</w:t>
            </w:r>
          </w:p>
          <w:p w:rsidR="00B06916" w:rsidRPr="00B06916" w:rsidRDefault="00B06916" w:rsidP="00B06916">
            <w:pPr>
              <w:numPr>
                <w:ilvl w:val="0"/>
                <w:numId w:val="19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Leading for Learning (3 staff)</w:t>
            </w:r>
          </w:p>
          <w:p w:rsidR="00B06916" w:rsidRPr="00BE7B32" w:rsidRDefault="00BE7B32" w:rsidP="00CB04C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</w:r>
            <w:r w:rsidR="00B06916" w:rsidRPr="00B06916">
              <w:rPr>
                <w:rFonts w:ascii="Calibri" w:eastAsia="Times New Roman" w:hAnsi="Calibri" w:cs="Calibri"/>
                <w:sz w:val="24"/>
                <w:szCs w:val="24"/>
              </w:rPr>
              <w:t>To develop Professional Learning Plans</w:t>
            </w:r>
          </w:p>
          <w:p w:rsidR="00B06916" w:rsidRPr="00B06916" w:rsidRDefault="00B06916" w:rsidP="00B06916">
            <w:pPr>
              <w:numPr>
                <w:ilvl w:val="0"/>
                <w:numId w:val="20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Leadership Capabilities survey </w:t>
            </w:r>
          </w:p>
          <w:p w:rsidR="00B06916" w:rsidRPr="00B06916" w:rsidRDefault="00B06916" w:rsidP="00B06916">
            <w:pPr>
              <w:numPr>
                <w:ilvl w:val="0"/>
                <w:numId w:val="20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Professional Learning Plans</w:t>
            </w:r>
          </w:p>
          <w:p w:rsidR="00B06916" w:rsidRPr="00B06916" w:rsidRDefault="00B06916" w:rsidP="00B06916">
            <w:pPr>
              <w:numPr>
                <w:ilvl w:val="0"/>
                <w:numId w:val="20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Leadership Coaching</w:t>
            </w: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E7B32" w:rsidRDefault="00BE7B32" w:rsidP="00B06916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To develop essential learnings in Reading across all year levels. </w:t>
            </w:r>
          </w:p>
          <w:p w:rsidR="00B06916" w:rsidRPr="00B06916" w:rsidRDefault="00B06916" w:rsidP="00B06916">
            <w:pPr>
              <w:numPr>
                <w:ilvl w:val="0"/>
                <w:numId w:val="21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Closure day in April</w:t>
            </w:r>
          </w:p>
          <w:p w:rsidR="00B06916" w:rsidRPr="00B06916" w:rsidRDefault="00B06916" w:rsidP="00B06916">
            <w:pPr>
              <w:numPr>
                <w:ilvl w:val="0"/>
                <w:numId w:val="21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Audit F &amp; P against </w:t>
            </w:r>
            <w:proofErr w:type="spellStart"/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VicCurric</w:t>
            </w:r>
            <w:proofErr w:type="spellEnd"/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 xml:space="preserve"> Standards</w:t>
            </w:r>
          </w:p>
          <w:p w:rsidR="00B06916" w:rsidRDefault="00B06916" w:rsidP="00B06916">
            <w:pPr>
              <w:numPr>
                <w:ilvl w:val="0"/>
                <w:numId w:val="21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sz w:val="24"/>
                <w:szCs w:val="24"/>
              </w:rPr>
              <w:t>Determine Reading Essential Learnings F-7</w:t>
            </w:r>
          </w:p>
          <w:p w:rsidR="006E0C24" w:rsidRDefault="006E0C24" w:rsidP="006E0C24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 xml:space="preserve">To develop clear expectations for Reading Proficiency. </w:t>
            </w:r>
          </w:p>
          <w:p w:rsidR="00B06916" w:rsidRPr="00B06916" w:rsidRDefault="00B06916" w:rsidP="00B06916">
            <w:pPr>
              <w:numPr>
                <w:ilvl w:val="0"/>
                <w:numId w:val="22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 xml:space="preserve">Year level Proficiency Scales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>To develop a reading practice document.</w:t>
            </w:r>
          </w:p>
          <w:p w:rsidR="00B06916" w:rsidRPr="00B06916" w:rsidRDefault="00B06916" w:rsidP="00B06916">
            <w:pPr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lastRenderedPageBreak/>
              <w:t>Agreed strategies and reading lesson expectations.</w:t>
            </w:r>
          </w:p>
          <w:p w:rsidR="00B06916" w:rsidRPr="00B06916" w:rsidRDefault="00B06916" w:rsidP="00CB04C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</w: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 xml:space="preserve">To improve classroom pedagogy and teacher capacity. </w:t>
            </w:r>
          </w:p>
          <w:p w:rsidR="00B06916" w:rsidRPr="00B06916" w:rsidRDefault="00B06916" w:rsidP="00B06916">
            <w:pPr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>Classroom Observations</w:t>
            </w:r>
          </w:p>
          <w:p w:rsidR="00B06916" w:rsidRPr="00B06916" w:rsidRDefault="00B06916" w:rsidP="00B06916">
            <w:pPr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 xml:space="preserve">Peer coaching </w:t>
            </w:r>
          </w:p>
          <w:p w:rsidR="00B06916" w:rsidRDefault="00B06916" w:rsidP="00B06916">
            <w:pPr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  <w:r w:rsidRPr="00B06916"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>Professional Learning Plans based on reading strategies.</w:t>
            </w:r>
          </w:p>
          <w:p w:rsidR="00B06916" w:rsidRDefault="00B06916" w:rsidP="00B06916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</w:p>
          <w:p w:rsidR="00B06916" w:rsidRPr="00B06916" w:rsidRDefault="00B06916" w:rsidP="00B06916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262626"/>
                <w:sz w:val="24"/>
                <w:szCs w:val="24"/>
              </w:rPr>
              <w:t>To design effective feedback processes for students.</w:t>
            </w:r>
          </w:p>
        </w:tc>
      </w:tr>
    </w:tbl>
    <w:p w:rsidR="00B06916" w:rsidRDefault="00B06916"/>
    <w:p w:rsidR="00005895" w:rsidRDefault="0000589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770725" w:rsidRDefault="00770725" w:rsidP="00666AC9"/>
    <w:p w:rsidR="00B06916" w:rsidRPr="00B06916" w:rsidRDefault="00B06916" w:rsidP="00B06916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8"/>
        <w:gridCol w:w="5021"/>
        <w:gridCol w:w="6032"/>
        <w:gridCol w:w="1843"/>
        <w:gridCol w:w="1361"/>
      </w:tblGrid>
      <w:tr w:rsidR="00B06916" w:rsidRPr="00B06916" w:rsidTr="00B06916">
        <w:trPr>
          <w:trHeight w:val="935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48"/>
                <w:szCs w:val="48"/>
              </w:rPr>
              <w:lastRenderedPageBreak/>
              <w:t>2019 Leadership Pacing Guide</w:t>
            </w:r>
          </w:p>
        </w:tc>
      </w:tr>
      <w:tr w:rsidR="00B06916" w:rsidRPr="00B06916" w:rsidTr="00B06916">
        <w:trPr>
          <w:trHeight w:val="9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Timeline: 2019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Specific Actions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Mini-Milestones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Responsible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E0EF2" w:rsidRDefault="00DE0EF2" w:rsidP="00B06916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CHECS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Reference</w:t>
            </w:r>
          </w:p>
        </w:tc>
      </w:tr>
      <w:tr w:rsidR="00B06916" w:rsidRPr="00B06916" w:rsidTr="00B06916">
        <w:trPr>
          <w:trHeight w:val="713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Term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Create mission statements using CHECS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Induction day for 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On newsletter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 Staff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V/M</w:t>
            </w:r>
          </w:p>
        </w:tc>
      </w:tr>
      <w:tr w:rsidR="00B06916" w:rsidRPr="00B06916" w:rsidTr="00B06916">
        <w:trPr>
          <w:trHeight w:val="48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Leading for Learning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3 Teachers attending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770725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3.2</w:t>
            </w:r>
          </w:p>
        </w:tc>
      </w:tr>
      <w:tr w:rsidR="00770725" w:rsidRPr="00B06916" w:rsidTr="00B06916">
        <w:trPr>
          <w:trHeight w:val="48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725" w:rsidRPr="00B06916" w:rsidRDefault="00770725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B06916">
            <w:pPr>
              <w:spacing w:line="240" w:lineRule="auto"/>
              <w:rPr>
                <w:rFonts w:eastAsia="Times New Roman"/>
                <w:sz w:val="24"/>
                <w:szCs w:val="24"/>
                <w:shd w:val="clear" w:color="auto" w:fill="FFFF00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00"/>
              </w:rPr>
              <w:t>CDLP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B06916">
            <w:pPr>
              <w:spacing w:line="240" w:lineRule="auto"/>
              <w:rPr>
                <w:rFonts w:eastAsia="Times New Roman"/>
                <w:sz w:val="24"/>
                <w:szCs w:val="24"/>
                <w:shd w:val="clear" w:color="auto" w:fill="FFFF00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00"/>
              </w:rPr>
              <w:t>2 Teachers attending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B06916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B06916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3.2</w:t>
            </w:r>
          </w:p>
        </w:tc>
      </w:tr>
      <w:tr w:rsidR="00B06916" w:rsidRPr="00B06916" w:rsidTr="00CB04C2">
        <w:trPr>
          <w:trHeight w:val="63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PLC Health Check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Set goals for future directions.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 Characteristics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4.1 &amp; 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142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a strategic plan for Community Engagement and Fund-raising.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SAC sub-committee formed.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Meeting to plan events for the year.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Identify key people to organise each event.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SAC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CB04C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2.1</w:t>
            </w:r>
          </w:p>
        </w:tc>
      </w:tr>
      <w:tr w:rsidR="00B06916" w:rsidRPr="00B06916" w:rsidTr="00CB04C2">
        <w:trPr>
          <w:trHeight w:val="156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a strategic plan for the Student Representative Council events and make links to CST.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Voting for 2 representatives from each classroom.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Planning for student wellbeing events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Wellbeing Leader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SRC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School Leaders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5.2 &amp; 5.3</w:t>
            </w:r>
          </w:p>
          <w:p w:rsidR="00B06916" w:rsidRPr="00B06916" w:rsidRDefault="00B06916" w:rsidP="00B0691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6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Develop a social justice strategic plan.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Each Learning Centre contributing.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1.3</w:t>
            </w:r>
          </w:p>
        </w:tc>
      </w:tr>
      <w:tr w:rsidR="00B06916" w:rsidRPr="00B06916" w:rsidTr="00CB04C2">
        <w:trPr>
          <w:trHeight w:val="9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a comprehensive plan for intervention across the school.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Programs delivery will target students who are below the literacy &amp; Numeracy benchmarks.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Special Ed Leader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LSOs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4.5</w:t>
            </w:r>
          </w:p>
        </w:tc>
      </w:tr>
      <w:tr w:rsidR="00B06916" w:rsidRPr="00B06916" w:rsidTr="00CB04C2">
        <w:trPr>
          <w:trHeight w:val="91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RE Units using the new Awakenings Curriculum.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Teams supported by the RE Leader and CEO RE Education Officers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CEO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Leadership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1.1</w:t>
            </w:r>
          </w:p>
        </w:tc>
      </w:tr>
      <w:tr w:rsidR="00B06916" w:rsidRPr="00B06916" w:rsidTr="00CB04C2">
        <w:trPr>
          <w:trHeight w:val="105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Create a coaching timetable for term 2.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 select their peer coach.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Coaching sessions timetabled twice a term at PLC meetings.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77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Recommit to  PLC Mission, Vision, Goals, Values, Norms and Mantra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Teams establish collaborative norms and agendas.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3V/M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B06916">
        <w:trPr>
          <w:trHeight w:val="15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Parent/Teacher information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Meet and Greet BBQ for new families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142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Revisit Mathematics proficiency scales and CFATS.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Re-evaluate essential learnings for writing genre.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At the beginning of each learning unit.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CEO support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76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770725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>Staff develop their 2018 Professional Learning Plans.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770725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>Meet with Leadership to discuss PLPs.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 &amp; 3.3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86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Classroom observations of writing strategies.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Modelled, Shared, Interactive and Guided Writing strategies.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</w:tc>
      </w:tr>
      <w:tr w:rsidR="00B06916" w:rsidRPr="00B06916" w:rsidTr="00CB04C2">
        <w:trPr>
          <w:trHeight w:val="105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Analyse CFAT data in PLT and whole school PLC meetings.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Traffic Light data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Feedback sessions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Boost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Students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4.4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48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06916">
              <w:rPr>
                <w:rFonts w:eastAsia="Times New Roman"/>
                <w:sz w:val="24"/>
                <w:szCs w:val="24"/>
              </w:rPr>
              <w:t>ResourceSmart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Working towards a 5 star accreditation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3.4</w:t>
            </w:r>
          </w:p>
        </w:tc>
      </w:tr>
      <w:tr w:rsidR="00DE0EF2" w:rsidRPr="00B06916" w:rsidTr="00CB04C2">
        <w:trPr>
          <w:trHeight w:val="4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0EF2" w:rsidRPr="00B06916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770725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>Conduct a Wellbeing Survey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770725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>Analyse surveys and develop a plan to address issues and concerns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B06916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 Staff</w:t>
            </w:r>
          </w:p>
          <w:p w:rsidR="00DE0EF2" w:rsidRPr="00B06916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Students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B06916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5.2</w:t>
            </w:r>
          </w:p>
          <w:p w:rsidR="00DE0EF2" w:rsidRPr="00B06916" w:rsidRDefault="00DE0EF2" w:rsidP="00DE0EF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DE0EF2" w:rsidRPr="00B06916" w:rsidTr="00DE0EF2">
        <w:trPr>
          <w:trHeight w:val="111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Term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Design graphics for meeting room glass that tell the story of the influence of the Loreto Sisters and St. Mary </w:t>
            </w:r>
            <w:proofErr w:type="spellStart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MacKillop</w:t>
            </w:r>
            <w:proofErr w:type="spellEnd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Work with </w:t>
            </w:r>
            <w:proofErr w:type="spellStart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Signworks</w:t>
            </w:r>
            <w:proofErr w:type="spellEnd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(Andrew Bryant) to design a picture representation of the history of the school based on the Loreto Sisters and St. Mary </w:t>
            </w:r>
            <w:proofErr w:type="spellStart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MacKillop</w:t>
            </w:r>
            <w:proofErr w:type="spellEnd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Fr. Greg</w:t>
            </w:r>
          </w:p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1.2</w:t>
            </w:r>
          </w:p>
          <w:p w:rsidR="00DE0EF2" w:rsidRPr="00B06916" w:rsidRDefault="00DE0EF2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2.2</w:t>
            </w:r>
          </w:p>
        </w:tc>
      </w:tr>
      <w:tr w:rsidR="00B06916" w:rsidRPr="00B06916" w:rsidTr="00CB04C2">
        <w:trPr>
          <w:trHeight w:val="64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Circle Time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Professional Learning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Weekly in all classrooms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 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5.2</w:t>
            </w:r>
          </w:p>
        </w:tc>
      </w:tr>
      <w:tr w:rsidR="00B06916" w:rsidRPr="00B06916" w:rsidTr="00CB04C2">
        <w:trPr>
          <w:trHeight w:val="6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PLC Health Check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Set goals for future directions.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 &amp; 3.3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4.1 &amp; 4.2</w:t>
            </w:r>
          </w:p>
        </w:tc>
      </w:tr>
      <w:tr w:rsidR="00B06916" w:rsidRPr="00B06916" w:rsidTr="00CB04C2">
        <w:trPr>
          <w:trHeight w:val="5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RE Units using the new Awakenings Curriculum.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Teams supported by the RE Leader and CEO RE Education Officers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107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Analyse CFAT data in PLT and whole school PLC meetings (Mathematics &amp; Writing)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Traffic Light data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Feedback sessions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Boost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Students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4.4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7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Begin examining Essential Learnings for Reading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Audit the curriculum against the </w:t>
            </w:r>
            <w:proofErr w:type="spellStart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Fountas</w:t>
            </w:r>
            <w:proofErr w:type="spellEnd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&amp; </w:t>
            </w:r>
            <w:proofErr w:type="spellStart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Pinnell</w:t>
            </w:r>
            <w:proofErr w:type="spellEnd"/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Reading skills.</w:t>
            </w:r>
            <w:r w:rsidR="00DE0EF2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Closure Day April 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4.1</w:t>
            </w:r>
          </w:p>
        </w:tc>
      </w:tr>
      <w:tr w:rsidR="00B06916" w:rsidRPr="00B06916" w:rsidTr="00CB04C2">
        <w:trPr>
          <w:trHeight w:val="4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Peer Coaching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Writing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</w:tc>
      </w:tr>
      <w:tr w:rsidR="00B06916" w:rsidRPr="00B06916" w:rsidTr="00CB04C2">
        <w:trPr>
          <w:trHeight w:val="63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Dialogue School closure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Justin Driscoll - morning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Joanne and Kate - afternoon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 Staff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1.2 &amp; 1.3</w:t>
            </w:r>
          </w:p>
        </w:tc>
      </w:tr>
      <w:tr w:rsidR="00B06916" w:rsidRPr="00B06916" w:rsidTr="00CB04C2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06916">
              <w:rPr>
                <w:rFonts w:eastAsia="Times New Roman"/>
                <w:sz w:val="24"/>
                <w:szCs w:val="24"/>
              </w:rPr>
              <w:t>ResourceSmart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Working towards a 5 star accreditation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3.4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DE0EF2">
        <w:trPr>
          <w:trHeight w:val="66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Mathematics networks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·         CEO</w:t>
            </w:r>
          </w:p>
          <w:p w:rsidR="00B06916" w:rsidRPr="00B06916" w:rsidRDefault="00B06916" w:rsidP="00B06916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·         Portland District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Mathematics Leader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</w:t>
            </w:r>
          </w:p>
        </w:tc>
      </w:tr>
      <w:tr w:rsidR="00B06916" w:rsidRPr="00B06916" w:rsidTr="00CB04C2">
        <w:trPr>
          <w:trHeight w:val="71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Term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8549D0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8549D0">
              <w:rPr>
                <w:rFonts w:eastAsia="Times New Roman"/>
                <w:sz w:val="24"/>
                <w:szCs w:val="24"/>
                <w:highlight w:val="yellow"/>
              </w:rPr>
              <w:t>PLP meetings with 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8549D0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8549D0">
              <w:rPr>
                <w:rFonts w:eastAsia="Times New Roman"/>
                <w:sz w:val="24"/>
                <w:szCs w:val="24"/>
                <w:highlight w:val="yellow"/>
              </w:rPr>
              <w:t>Checking in on teacher goals. Making necessary adjustments.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8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 Way conversations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Parents, student &amp; teacher/s meet to discuss student data &amp; goas.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Parents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Students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60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PLC Health Check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Set goals for future directions.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 &amp; 3.3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4.1 &amp; 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97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Analyse CFAT data in PLT and whole school PLC meetings.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Traffic Light data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Feedback sessions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Boost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Students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4.4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77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RE Units using the new Awakenings Curriculum.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Teams supported by the RE Leader and CEO RE Education Officers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62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Peer Coaching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Reading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77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Look at F&amp;P resources to support reading in classrooms.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Visit St. Patrick’s Port Fairy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</w:tc>
      </w:tr>
      <w:tr w:rsidR="00B06916" w:rsidRPr="00B06916" w:rsidTr="00CB04C2">
        <w:trPr>
          <w:trHeight w:val="7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Trial CARS &amp; STARS as a classroom tool for reading.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Years 3-6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4..2</w:t>
            </w:r>
          </w:p>
        </w:tc>
      </w:tr>
      <w:tr w:rsidR="00770725" w:rsidRPr="00B06916" w:rsidTr="00CB04C2">
        <w:trPr>
          <w:trHeight w:val="7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Research history of the Loreto Sisters and St. Mary Mackillop’s connection to Portland.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St. Mary Mackillop centre Penola</w:t>
            </w:r>
          </w:p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</w:t>
            </w:r>
          </w:p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  <w:shd w:val="clear" w:color="auto" w:fill="FFFF00"/>
              </w:rPr>
              <w:t>Mackillop Wing</w:t>
            </w:r>
            <w:r w:rsidR="00DE0EF2">
              <w:rPr>
                <w:rFonts w:eastAsia="Times New Roman"/>
                <w:sz w:val="24"/>
                <w:szCs w:val="24"/>
                <w:shd w:val="clear" w:color="auto" w:fill="FFFF00"/>
              </w:rPr>
              <w:t xml:space="preserve"> sign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 Staff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725" w:rsidRPr="00B06916" w:rsidRDefault="00770725" w:rsidP="00770725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1.2</w:t>
            </w:r>
          </w:p>
        </w:tc>
      </w:tr>
      <w:tr w:rsidR="00B06916" w:rsidRPr="00B06916" w:rsidTr="00DE0EF2">
        <w:trPr>
          <w:trHeight w:val="5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06916">
              <w:rPr>
                <w:rFonts w:eastAsia="Times New Roman"/>
                <w:sz w:val="24"/>
                <w:szCs w:val="24"/>
              </w:rPr>
              <w:t>ResourceSmart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Working towards a 5 star accreditation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3.4</w:t>
            </w:r>
          </w:p>
        </w:tc>
      </w:tr>
      <w:tr w:rsidR="00B06916" w:rsidRPr="00B06916" w:rsidTr="00CB04C2">
        <w:trPr>
          <w:trHeight w:val="7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Mathematics networks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·         CEO</w:t>
            </w:r>
          </w:p>
          <w:p w:rsidR="00B06916" w:rsidRPr="00B06916" w:rsidRDefault="00B06916" w:rsidP="00B06916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·         Portland District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Mathematics Leader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</w:t>
            </w:r>
          </w:p>
        </w:tc>
      </w:tr>
      <w:tr w:rsidR="00B06916" w:rsidRPr="00B06916" w:rsidTr="00CB04C2">
        <w:trPr>
          <w:trHeight w:val="643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b/>
                <w:bCs/>
                <w:sz w:val="24"/>
                <w:szCs w:val="24"/>
              </w:rPr>
              <w:t>Term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770725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>PLP meetings with 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770725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 xml:space="preserve">Checking in on teacher </w:t>
            </w:r>
            <w:r w:rsidR="00DE0EF2">
              <w:rPr>
                <w:rFonts w:eastAsia="Times New Roman"/>
                <w:sz w:val="24"/>
                <w:szCs w:val="24"/>
                <w:highlight w:val="yellow"/>
              </w:rPr>
              <w:t xml:space="preserve">PLP </w:t>
            </w:r>
            <w:r w:rsidRPr="00770725">
              <w:rPr>
                <w:rFonts w:eastAsia="Times New Roman"/>
                <w:sz w:val="24"/>
                <w:szCs w:val="24"/>
                <w:highlight w:val="yellow"/>
              </w:rPr>
              <w:t>goals. Making necessary adjustments.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4.2</w:t>
            </w:r>
          </w:p>
        </w:tc>
      </w:tr>
      <w:tr w:rsidR="00B06916" w:rsidRPr="00B06916" w:rsidTr="00CB04C2">
        <w:trPr>
          <w:trHeight w:val="7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Analyse PAT data to determine teaching goals for coaching and foci for student learning.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 – whole school growth data.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 – student achievement data.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4.4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9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Analyse CFAT data in PLT and whole school PLC meetings.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Traffic Light data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Feedback sessions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Boost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Students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3.3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4.4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7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Develop RE Units using the new Awakenings Curriculum.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Teams supported by the RE Leader and CEO RE Education Officers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1.1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CB04C2">
        <w:trPr>
          <w:trHeight w:val="63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Mathematics networks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·         CEO</w:t>
            </w:r>
          </w:p>
          <w:p w:rsidR="00B06916" w:rsidRPr="00B06916" w:rsidRDefault="00B06916" w:rsidP="00B06916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·         Portland District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Mathematics Leader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2.2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3.2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6916" w:rsidRPr="00B06916" w:rsidTr="003B33FF">
        <w:trPr>
          <w:trHeight w:val="51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06916">
              <w:rPr>
                <w:rFonts w:eastAsia="Times New Roman"/>
                <w:sz w:val="24"/>
                <w:szCs w:val="24"/>
              </w:rPr>
              <w:t>ResourceSmart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Working towards a 5 star accreditation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All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3.4</w:t>
            </w:r>
          </w:p>
        </w:tc>
      </w:tr>
      <w:tr w:rsidR="00B06916" w:rsidRPr="00B06916" w:rsidTr="003B33FF">
        <w:trPr>
          <w:trHeight w:val="7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Evaluate and celebrate AAP achievements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Survey staff.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Share survey findings.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Leadership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Teachers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6916">
              <w:rPr>
                <w:rFonts w:eastAsia="Times New Roman"/>
                <w:sz w:val="24"/>
                <w:szCs w:val="24"/>
              </w:rPr>
              <w:t>3.1</w:t>
            </w:r>
          </w:p>
          <w:p w:rsidR="00B06916" w:rsidRPr="00B06916" w:rsidRDefault="00B06916" w:rsidP="00B06916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D0B12" w:rsidRDefault="000D0B12">
      <w:pPr>
        <w:rPr>
          <w:rFonts w:ascii="Calibri" w:eastAsia="Calibri" w:hAnsi="Calibri" w:cs="Calibri"/>
          <w:b/>
          <w:color w:val="1C4587"/>
          <w:sz w:val="16"/>
          <w:szCs w:val="16"/>
        </w:rPr>
      </w:pPr>
    </w:p>
    <w:p w:rsidR="00FB1B85" w:rsidRPr="007932B1" w:rsidRDefault="00FB1B85">
      <w:pPr>
        <w:rPr>
          <w:rFonts w:ascii="Calibri" w:eastAsia="Calibri" w:hAnsi="Calibri" w:cs="Calibri"/>
          <w:b/>
          <w:color w:val="1C4587"/>
          <w:sz w:val="16"/>
          <w:szCs w:val="16"/>
        </w:rPr>
      </w:pPr>
    </w:p>
    <w:tbl>
      <w:tblPr>
        <w:tblStyle w:val="TableGrid"/>
        <w:tblW w:w="15735" w:type="dxa"/>
        <w:tblLook w:val="04A0" w:firstRow="1" w:lastRow="0" w:firstColumn="1" w:lastColumn="0" w:noHBand="0" w:noVBand="1"/>
      </w:tblPr>
      <w:tblGrid>
        <w:gridCol w:w="1075"/>
        <w:gridCol w:w="1424"/>
        <w:gridCol w:w="1511"/>
        <w:gridCol w:w="1242"/>
        <w:gridCol w:w="1337"/>
        <w:gridCol w:w="1512"/>
        <w:gridCol w:w="1541"/>
        <w:gridCol w:w="1556"/>
        <w:gridCol w:w="1471"/>
        <w:gridCol w:w="1556"/>
        <w:gridCol w:w="1510"/>
      </w:tblGrid>
      <w:tr w:rsidR="00722B0E" w:rsidTr="00722B0E">
        <w:tc>
          <w:tcPr>
            <w:tcW w:w="15735" w:type="dxa"/>
            <w:gridSpan w:val="11"/>
            <w:shd w:val="clear" w:color="auto" w:fill="BDD6EE" w:themeFill="accent1" w:themeFillTint="66"/>
          </w:tcPr>
          <w:p w:rsidR="00722B0E" w:rsidRDefault="00722B0E" w:rsidP="007932B1">
            <w:pPr>
              <w:jc w:val="center"/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>Student Outcome Targets</w:t>
            </w:r>
          </w:p>
        </w:tc>
      </w:tr>
      <w:tr w:rsidR="00722B0E" w:rsidTr="00722B0E">
        <w:tc>
          <w:tcPr>
            <w:tcW w:w="895" w:type="dxa"/>
          </w:tcPr>
          <w:p w:rsidR="00722B0E" w:rsidRPr="007932B1" w:rsidRDefault="00722B0E" w:rsidP="00722B0E">
            <w:pPr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</w:pPr>
          </w:p>
        </w:tc>
        <w:tc>
          <w:tcPr>
            <w:tcW w:w="7110" w:type="dxa"/>
            <w:gridSpan w:val="5"/>
            <w:shd w:val="clear" w:color="auto" w:fill="FFE599" w:themeFill="accent4" w:themeFillTint="66"/>
          </w:tcPr>
          <w:p w:rsidR="00722B0E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  <w:t>PAT M</w:t>
            </w:r>
          </w:p>
        </w:tc>
        <w:tc>
          <w:tcPr>
            <w:tcW w:w="7730" w:type="dxa"/>
            <w:gridSpan w:val="5"/>
            <w:shd w:val="clear" w:color="auto" w:fill="C5E0B3" w:themeFill="accent6" w:themeFillTint="66"/>
          </w:tcPr>
          <w:p w:rsidR="00722B0E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  <w:t>PAT R</w:t>
            </w:r>
          </w:p>
        </w:tc>
      </w:tr>
      <w:tr w:rsidR="00722B0E" w:rsidTr="00722B0E">
        <w:tc>
          <w:tcPr>
            <w:tcW w:w="895" w:type="dxa"/>
          </w:tcPr>
          <w:p w:rsidR="00722B0E" w:rsidRPr="007932B1" w:rsidRDefault="00722B0E" w:rsidP="00722B0E">
            <w:pPr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1C4587"/>
                <w:sz w:val="28"/>
                <w:szCs w:val="28"/>
              </w:rPr>
              <w:t>Year</w:t>
            </w:r>
          </w:p>
        </w:tc>
        <w:tc>
          <w:tcPr>
            <w:tcW w:w="1440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Sig. Below</w:t>
            </w:r>
          </w:p>
        </w:tc>
        <w:tc>
          <w:tcPr>
            <w:tcW w:w="1530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Below</w:t>
            </w:r>
          </w:p>
        </w:tc>
        <w:tc>
          <w:tcPr>
            <w:tcW w:w="1260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At</w:t>
            </w:r>
          </w:p>
        </w:tc>
        <w:tc>
          <w:tcPr>
            <w:tcW w:w="1350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Above</w:t>
            </w:r>
          </w:p>
        </w:tc>
        <w:tc>
          <w:tcPr>
            <w:tcW w:w="1530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Sig. Above</w:t>
            </w:r>
          </w:p>
        </w:tc>
        <w:tc>
          <w:tcPr>
            <w:tcW w:w="1561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Sig. Below</w:t>
            </w:r>
          </w:p>
        </w:tc>
        <w:tc>
          <w:tcPr>
            <w:tcW w:w="1576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Below</w:t>
            </w:r>
          </w:p>
        </w:tc>
        <w:tc>
          <w:tcPr>
            <w:tcW w:w="1489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At</w:t>
            </w:r>
          </w:p>
        </w:tc>
        <w:tc>
          <w:tcPr>
            <w:tcW w:w="1576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Above</w:t>
            </w:r>
          </w:p>
        </w:tc>
        <w:tc>
          <w:tcPr>
            <w:tcW w:w="1528" w:type="dxa"/>
          </w:tcPr>
          <w:p w:rsidR="00722B0E" w:rsidRPr="00816A30" w:rsidRDefault="00722B0E" w:rsidP="00722B0E">
            <w:pPr>
              <w:jc w:val="center"/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</w:pPr>
            <w:r w:rsidRPr="00816A30">
              <w:rPr>
                <w:rFonts w:ascii="Calibri" w:eastAsia="Calibri" w:hAnsi="Calibri" w:cs="Calibri"/>
                <w:b/>
                <w:color w:val="FF0000"/>
                <w:sz w:val="28"/>
                <w:szCs w:val="28"/>
              </w:rPr>
              <w:t>Sig. Above</w:t>
            </w:r>
          </w:p>
        </w:tc>
      </w:tr>
      <w:tr w:rsidR="003B33FF" w:rsidTr="003B33FF">
        <w:tc>
          <w:tcPr>
            <w:tcW w:w="895" w:type="dxa"/>
          </w:tcPr>
          <w:p w:rsidR="00722B0E" w:rsidRDefault="003B33FF">
            <w:pP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 xml:space="preserve">2017 </w:t>
            </w:r>
          </w:p>
          <w:p w:rsidR="003B33FF" w:rsidRPr="006C7D1F" w:rsidRDefault="003B33FF">
            <w:pP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C000" w:themeFill="accent4"/>
          </w:tcPr>
          <w:p w:rsidR="00722B0E" w:rsidRPr="006C7D1F" w:rsidRDefault="00816A30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5%</w:t>
            </w:r>
          </w:p>
        </w:tc>
        <w:tc>
          <w:tcPr>
            <w:tcW w:w="1530" w:type="dxa"/>
            <w:shd w:val="clear" w:color="auto" w:fill="FFC000" w:themeFill="accent4"/>
          </w:tcPr>
          <w:p w:rsidR="00722B0E" w:rsidRPr="006C7D1F" w:rsidRDefault="00816A30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10%</w:t>
            </w:r>
          </w:p>
        </w:tc>
        <w:tc>
          <w:tcPr>
            <w:tcW w:w="1260" w:type="dxa"/>
            <w:shd w:val="clear" w:color="auto" w:fill="FFC000" w:themeFill="accent4"/>
          </w:tcPr>
          <w:p w:rsidR="00722B0E" w:rsidRPr="006C7D1F" w:rsidRDefault="00816A30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30%</w:t>
            </w:r>
          </w:p>
        </w:tc>
        <w:tc>
          <w:tcPr>
            <w:tcW w:w="1350" w:type="dxa"/>
            <w:shd w:val="clear" w:color="auto" w:fill="FFC000" w:themeFill="accent4"/>
          </w:tcPr>
          <w:p w:rsidR="00722B0E" w:rsidRPr="006C7D1F" w:rsidRDefault="00816A30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25%</w:t>
            </w:r>
          </w:p>
        </w:tc>
        <w:tc>
          <w:tcPr>
            <w:tcW w:w="1530" w:type="dxa"/>
            <w:shd w:val="clear" w:color="auto" w:fill="FFC000" w:themeFill="accent4"/>
          </w:tcPr>
          <w:p w:rsidR="00722B0E" w:rsidRPr="006C7D1F" w:rsidRDefault="00816A30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30%</w:t>
            </w:r>
          </w:p>
        </w:tc>
        <w:tc>
          <w:tcPr>
            <w:tcW w:w="1561" w:type="dxa"/>
            <w:shd w:val="clear" w:color="auto" w:fill="FFFF00"/>
          </w:tcPr>
          <w:p w:rsidR="00722B0E" w:rsidRPr="006C7D1F" w:rsidRDefault="001F2418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10%</w:t>
            </w:r>
          </w:p>
        </w:tc>
        <w:tc>
          <w:tcPr>
            <w:tcW w:w="1576" w:type="dxa"/>
            <w:shd w:val="clear" w:color="auto" w:fill="FFFF00"/>
          </w:tcPr>
          <w:p w:rsidR="00722B0E" w:rsidRPr="006C7D1F" w:rsidRDefault="001F2418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15%</w:t>
            </w:r>
          </w:p>
        </w:tc>
        <w:tc>
          <w:tcPr>
            <w:tcW w:w="1489" w:type="dxa"/>
            <w:shd w:val="clear" w:color="auto" w:fill="FFFF00"/>
          </w:tcPr>
          <w:p w:rsidR="00722B0E" w:rsidRPr="006C7D1F" w:rsidRDefault="001F2418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25%</w:t>
            </w:r>
          </w:p>
        </w:tc>
        <w:tc>
          <w:tcPr>
            <w:tcW w:w="1576" w:type="dxa"/>
            <w:shd w:val="clear" w:color="auto" w:fill="FFFF00"/>
          </w:tcPr>
          <w:p w:rsidR="00722B0E" w:rsidRPr="006C7D1F" w:rsidRDefault="001F2418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20%</w:t>
            </w:r>
          </w:p>
        </w:tc>
        <w:tc>
          <w:tcPr>
            <w:tcW w:w="1528" w:type="dxa"/>
            <w:shd w:val="clear" w:color="auto" w:fill="FFFF00"/>
          </w:tcPr>
          <w:p w:rsidR="00722B0E" w:rsidRPr="006C7D1F" w:rsidRDefault="001F2418" w:rsidP="00722B0E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 w:rsidRPr="006C7D1F"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30%</w:t>
            </w:r>
          </w:p>
        </w:tc>
      </w:tr>
      <w:tr w:rsidR="003B33FF" w:rsidTr="003B33FF">
        <w:tc>
          <w:tcPr>
            <w:tcW w:w="895" w:type="dxa"/>
          </w:tcPr>
          <w:p w:rsidR="003B33FF" w:rsidRPr="006C7D1F" w:rsidRDefault="003B33FF" w:rsidP="003B33FF">
            <w:pP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 xml:space="preserve">2018 </w:t>
            </w:r>
          </w:p>
        </w:tc>
        <w:tc>
          <w:tcPr>
            <w:tcW w:w="144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 w:rsidRPr="00191D8C"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5.5%</w:t>
            </w:r>
          </w:p>
        </w:tc>
        <w:tc>
          <w:tcPr>
            <w:tcW w:w="153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 w:rsidRPr="00191D8C"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13.7%</w:t>
            </w:r>
          </w:p>
        </w:tc>
        <w:tc>
          <w:tcPr>
            <w:tcW w:w="126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 w:rsidRPr="00191D8C"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28%</w:t>
            </w:r>
          </w:p>
        </w:tc>
        <w:tc>
          <w:tcPr>
            <w:tcW w:w="135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 w:rsidRPr="00191D8C"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26.4%</w:t>
            </w:r>
          </w:p>
        </w:tc>
        <w:tc>
          <w:tcPr>
            <w:tcW w:w="153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 w:rsidRPr="00191D8C"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26.4%</w:t>
            </w:r>
          </w:p>
        </w:tc>
        <w:tc>
          <w:tcPr>
            <w:tcW w:w="1561" w:type="dxa"/>
            <w:shd w:val="clear" w:color="auto" w:fill="FFFF00"/>
          </w:tcPr>
          <w:p w:rsidR="003B33F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14.2%</w:t>
            </w:r>
          </w:p>
          <w:p w:rsidR="003B33FF" w:rsidRPr="006C7D1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</w:p>
        </w:tc>
        <w:tc>
          <w:tcPr>
            <w:tcW w:w="1576" w:type="dxa"/>
            <w:shd w:val="clear" w:color="auto" w:fill="FFFF00"/>
          </w:tcPr>
          <w:p w:rsidR="003B33FF" w:rsidRPr="006C7D1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10.4%</w:t>
            </w:r>
          </w:p>
        </w:tc>
        <w:tc>
          <w:tcPr>
            <w:tcW w:w="1489" w:type="dxa"/>
            <w:shd w:val="clear" w:color="auto" w:fill="FFFF00"/>
          </w:tcPr>
          <w:p w:rsidR="003B33FF" w:rsidRPr="006C7D1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16.4%</w:t>
            </w:r>
          </w:p>
        </w:tc>
        <w:tc>
          <w:tcPr>
            <w:tcW w:w="1576" w:type="dxa"/>
            <w:shd w:val="clear" w:color="auto" w:fill="FFFF00"/>
          </w:tcPr>
          <w:p w:rsidR="003B33FF" w:rsidRPr="006C7D1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21.9%</w:t>
            </w:r>
          </w:p>
        </w:tc>
        <w:tc>
          <w:tcPr>
            <w:tcW w:w="1528" w:type="dxa"/>
            <w:shd w:val="clear" w:color="auto" w:fill="FFFF00"/>
          </w:tcPr>
          <w:p w:rsidR="003B33FF" w:rsidRPr="006C7D1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37.1</w:t>
            </w:r>
          </w:p>
        </w:tc>
      </w:tr>
      <w:tr w:rsidR="003B33FF" w:rsidTr="003B33FF">
        <w:tc>
          <w:tcPr>
            <w:tcW w:w="895" w:type="dxa"/>
          </w:tcPr>
          <w:p w:rsidR="003B33FF" w:rsidRDefault="003B33FF" w:rsidP="003B33FF">
            <w:pP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 xml:space="preserve">2019 </w:t>
            </w:r>
          </w:p>
          <w:p w:rsidR="003B33FF" w:rsidRDefault="003B33FF" w:rsidP="003B33FF">
            <w:pP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Target</w:t>
            </w: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s</w:t>
            </w:r>
          </w:p>
        </w:tc>
        <w:tc>
          <w:tcPr>
            <w:tcW w:w="144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3%</w:t>
            </w:r>
          </w:p>
        </w:tc>
        <w:tc>
          <w:tcPr>
            <w:tcW w:w="153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7%</w:t>
            </w:r>
          </w:p>
        </w:tc>
        <w:tc>
          <w:tcPr>
            <w:tcW w:w="126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30%</w:t>
            </w:r>
          </w:p>
        </w:tc>
        <w:tc>
          <w:tcPr>
            <w:tcW w:w="135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30%</w:t>
            </w:r>
          </w:p>
        </w:tc>
        <w:tc>
          <w:tcPr>
            <w:tcW w:w="1530" w:type="dxa"/>
            <w:shd w:val="clear" w:color="auto" w:fill="FFC000" w:themeFill="accent4"/>
          </w:tcPr>
          <w:p w:rsidR="003B33FF" w:rsidRPr="00191D8C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8"/>
                <w:szCs w:val="28"/>
              </w:rPr>
              <w:t>30%</w:t>
            </w:r>
          </w:p>
        </w:tc>
        <w:tc>
          <w:tcPr>
            <w:tcW w:w="1561" w:type="dxa"/>
            <w:shd w:val="clear" w:color="auto" w:fill="FFFF00"/>
          </w:tcPr>
          <w:p w:rsidR="003B33F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10%</w:t>
            </w:r>
          </w:p>
        </w:tc>
        <w:tc>
          <w:tcPr>
            <w:tcW w:w="1576" w:type="dxa"/>
            <w:shd w:val="clear" w:color="auto" w:fill="FFFF00"/>
          </w:tcPr>
          <w:p w:rsidR="003B33F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5%</w:t>
            </w:r>
          </w:p>
        </w:tc>
        <w:tc>
          <w:tcPr>
            <w:tcW w:w="1489" w:type="dxa"/>
            <w:shd w:val="clear" w:color="auto" w:fill="FFFF00"/>
          </w:tcPr>
          <w:p w:rsidR="003B33F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20%</w:t>
            </w:r>
          </w:p>
        </w:tc>
        <w:tc>
          <w:tcPr>
            <w:tcW w:w="1576" w:type="dxa"/>
            <w:shd w:val="clear" w:color="auto" w:fill="FFFF00"/>
          </w:tcPr>
          <w:p w:rsidR="003B33F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25%</w:t>
            </w:r>
          </w:p>
        </w:tc>
        <w:tc>
          <w:tcPr>
            <w:tcW w:w="1528" w:type="dxa"/>
            <w:shd w:val="clear" w:color="auto" w:fill="FFFF00"/>
          </w:tcPr>
          <w:p w:rsidR="003B33FF" w:rsidRDefault="003B33FF" w:rsidP="003B33FF">
            <w:pPr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5623" w:themeColor="accent6" w:themeShade="80"/>
                <w:sz w:val="28"/>
                <w:szCs w:val="28"/>
              </w:rPr>
              <w:t>40%</w:t>
            </w:r>
          </w:p>
        </w:tc>
      </w:tr>
    </w:tbl>
    <w:p w:rsidR="00DE0EF2" w:rsidRDefault="00DE0EF2">
      <w:pPr>
        <w:rPr>
          <w:rFonts w:ascii="Calibri" w:eastAsia="Calibri" w:hAnsi="Calibri" w:cs="Calibri"/>
          <w:b/>
          <w:color w:val="1C4587"/>
          <w:sz w:val="16"/>
          <w:szCs w:val="16"/>
        </w:rPr>
      </w:pPr>
    </w:p>
    <w:p w:rsidR="003B33FF" w:rsidRPr="007932B1" w:rsidRDefault="003B33FF">
      <w:pPr>
        <w:rPr>
          <w:rFonts w:ascii="Calibri" w:eastAsia="Calibri" w:hAnsi="Calibri" w:cs="Calibri"/>
          <w:b/>
          <w:color w:val="1C4587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95"/>
      </w:tblGrid>
      <w:tr w:rsidR="00DC684E" w:rsidTr="006C7D1F">
        <w:tc>
          <w:tcPr>
            <w:tcW w:w="15695" w:type="dxa"/>
            <w:shd w:val="clear" w:color="auto" w:fill="C5E0B3" w:themeFill="accent6" w:themeFillTint="66"/>
          </w:tcPr>
          <w:p w:rsidR="00DC684E" w:rsidRDefault="00DC684E" w:rsidP="00DB2B9D">
            <w:pPr>
              <w:jc w:val="center"/>
            </w:pPr>
            <w:r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>Ann</w:t>
            </w:r>
            <w:r w:rsidR="002B3E68">
              <w:rPr>
                <w:rFonts w:ascii="Calibri" w:eastAsia="Calibri" w:hAnsi="Calibri" w:cs="Calibri"/>
                <w:b/>
                <w:color w:val="1C4587"/>
                <w:sz w:val="36"/>
                <w:szCs w:val="36"/>
              </w:rPr>
              <w:t>ual Action Plan Process for 2019</w:t>
            </w:r>
          </w:p>
          <w:p w:rsidR="00DC684E" w:rsidRDefault="00DC684E" w:rsidP="00DB2B9D"/>
        </w:tc>
      </w:tr>
      <w:tr w:rsidR="00DC684E" w:rsidTr="006C7D1F">
        <w:tc>
          <w:tcPr>
            <w:tcW w:w="15695" w:type="dxa"/>
          </w:tcPr>
          <w:p w:rsidR="00DC684E" w:rsidRDefault="00DC684E" w:rsidP="00DB2B9D">
            <w:pPr>
              <w:contextualSpacing/>
              <w:rPr>
                <w:sz w:val="24"/>
                <w:szCs w:val="24"/>
              </w:rPr>
            </w:pPr>
          </w:p>
          <w:p w:rsidR="00DC684E" w:rsidRPr="008A2FDB" w:rsidRDefault="00DC684E" w:rsidP="00DB2B9D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 xml:space="preserve">Step </w:t>
            </w:r>
            <w:r w:rsidR="002B3E68">
              <w:rPr>
                <w:rFonts w:asciiTheme="minorHAnsi" w:hAnsiTheme="minorHAnsi" w:cstheme="minorHAnsi"/>
                <w:sz w:val="24"/>
                <w:szCs w:val="24"/>
              </w:rPr>
              <w:t>1: Leadership Team reviewed 2018</w:t>
            </w: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 xml:space="preserve"> AAP to identify actions that have contributed to achieving the key priorities.</w:t>
            </w:r>
          </w:p>
          <w:p w:rsidR="00DC684E" w:rsidRPr="008A2FDB" w:rsidRDefault="00DC684E" w:rsidP="00DB2B9D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>Step 2: Teachers completed a survey to indicate how successful we</w:t>
            </w:r>
            <w:r w:rsidR="002B3E68">
              <w:rPr>
                <w:rFonts w:asciiTheme="minorHAnsi" w:hAnsiTheme="minorHAnsi" w:cstheme="minorHAnsi"/>
                <w:sz w:val="24"/>
                <w:szCs w:val="24"/>
              </w:rPr>
              <w:t xml:space="preserve"> have been in achieving the 2018</w:t>
            </w: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 xml:space="preserve"> AAP priorities.</w:t>
            </w:r>
          </w:p>
          <w:p w:rsidR="00DC684E" w:rsidRPr="008A2FDB" w:rsidRDefault="00DC684E" w:rsidP="00DB2B9D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>Step 4: Leadership team examined Teacher survey responses to identify areas that n</w:t>
            </w:r>
            <w:r w:rsidR="002B3E68">
              <w:rPr>
                <w:rFonts w:asciiTheme="minorHAnsi" w:hAnsiTheme="minorHAnsi" w:cstheme="minorHAnsi"/>
                <w:sz w:val="24"/>
                <w:szCs w:val="24"/>
              </w:rPr>
              <w:t>eed further focus in 2019</w:t>
            </w: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DC684E" w:rsidRPr="008A2FDB" w:rsidRDefault="00DC684E" w:rsidP="00DB2B9D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 xml:space="preserve">Step 5: Leadership identified priorities from School Improvement Plan to include in 2018 AAP. </w:t>
            </w:r>
          </w:p>
          <w:p w:rsidR="00DC684E" w:rsidRDefault="00DC684E" w:rsidP="00DB2B9D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2FDB">
              <w:rPr>
                <w:rFonts w:asciiTheme="minorHAnsi" w:hAnsiTheme="minorHAnsi" w:cstheme="minorHAnsi"/>
                <w:sz w:val="24"/>
                <w:szCs w:val="24"/>
              </w:rPr>
              <w:t xml:space="preserve">Step 6: Leadership Team selected actions from CHECS document to match identified key priorities and strategies. </w:t>
            </w:r>
          </w:p>
          <w:p w:rsidR="00DC684E" w:rsidRPr="00FB1B85" w:rsidRDefault="006D11E9" w:rsidP="00FB1B85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Step 7: Leadership Team analysed current data sets to determine Future Targets for PAT R &amp; M</w:t>
            </w:r>
          </w:p>
        </w:tc>
      </w:tr>
    </w:tbl>
    <w:p w:rsidR="00761154" w:rsidRDefault="00761154">
      <w:bookmarkStart w:id="0" w:name="_GoBack"/>
      <w:bookmarkEnd w:id="0"/>
    </w:p>
    <w:sectPr w:rsidR="00761154" w:rsidSect="000102CF">
      <w:headerReference w:type="default" r:id="rId11"/>
      <w:footerReference w:type="default" r:id="rId12"/>
      <w:pgSz w:w="16839" w:h="11907" w:orient="landscape" w:code="9"/>
      <w:pgMar w:top="567" w:right="567" w:bottom="567" w:left="56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5EF" w:rsidRDefault="006325EF">
      <w:pPr>
        <w:spacing w:line="240" w:lineRule="auto"/>
      </w:pPr>
      <w:r>
        <w:separator/>
      </w:r>
    </w:p>
  </w:endnote>
  <w:endnote w:type="continuationSeparator" w:id="0">
    <w:p w:rsidR="006325EF" w:rsidRDefault="00632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B32" w:rsidRDefault="00BE7B32">
    <w:pPr>
      <w:jc w:val="right"/>
    </w:pPr>
    <w:r>
      <w:fldChar w:fldCharType="begin"/>
    </w:r>
    <w:r>
      <w:instrText>PAGE</w:instrText>
    </w:r>
    <w:r>
      <w:fldChar w:fldCharType="separate"/>
    </w:r>
    <w:r w:rsidR="003B33FF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5EF" w:rsidRDefault="006325EF">
      <w:pPr>
        <w:spacing w:line="240" w:lineRule="auto"/>
      </w:pPr>
      <w:r>
        <w:separator/>
      </w:r>
    </w:p>
  </w:footnote>
  <w:footnote w:type="continuationSeparator" w:id="0">
    <w:p w:rsidR="006325EF" w:rsidRDefault="006325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B32" w:rsidRDefault="00BE7B32">
    <w:r>
      <w:t xml:space="preserve">2019 Annual Action Pacing Guide – All Saints Parish School Leadership Team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95E"/>
    <w:multiLevelType w:val="hybridMultilevel"/>
    <w:tmpl w:val="16BA5E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1114EE"/>
    <w:multiLevelType w:val="multilevel"/>
    <w:tmpl w:val="5218E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D7023"/>
    <w:multiLevelType w:val="multilevel"/>
    <w:tmpl w:val="90E4F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800"/>
      </w:pPr>
      <w:rPr>
        <w:rFonts w:hint="default"/>
      </w:rPr>
    </w:lvl>
  </w:abstractNum>
  <w:abstractNum w:abstractNumId="3" w15:restartNumberingAfterBreak="0">
    <w:nsid w:val="162F359F"/>
    <w:multiLevelType w:val="multilevel"/>
    <w:tmpl w:val="ADB2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141CAB"/>
    <w:multiLevelType w:val="hybridMultilevel"/>
    <w:tmpl w:val="1B7E1B94"/>
    <w:lvl w:ilvl="0" w:tplc="0C090001">
      <w:start w:val="1"/>
      <w:numFmt w:val="bullet"/>
      <w:lvlText w:val=""/>
      <w:lvlJc w:val="left"/>
      <w:pPr>
        <w:ind w:left="5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 w15:restartNumberingAfterBreak="0">
    <w:nsid w:val="198E20C7"/>
    <w:multiLevelType w:val="multilevel"/>
    <w:tmpl w:val="6D52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E7E67"/>
    <w:multiLevelType w:val="hybridMultilevel"/>
    <w:tmpl w:val="7168016E"/>
    <w:lvl w:ilvl="0" w:tplc="0C090001">
      <w:start w:val="1"/>
      <w:numFmt w:val="bullet"/>
      <w:lvlText w:val=""/>
      <w:lvlJc w:val="left"/>
      <w:pPr>
        <w:ind w:left="539" w:hanging="39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939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7" w15:restartNumberingAfterBreak="0">
    <w:nsid w:val="1C3148F0"/>
    <w:multiLevelType w:val="hybridMultilevel"/>
    <w:tmpl w:val="A23A01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F5D48"/>
    <w:multiLevelType w:val="multilevel"/>
    <w:tmpl w:val="C902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D22C9B"/>
    <w:multiLevelType w:val="hybridMultilevel"/>
    <w:tmpl w:val="FD10E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A3D57"/>
    <w:multiLevelType w:val="multilevel"/>
    <w:tmpl w:val="E284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CE1F03"/>
    <w:multiLevelType w:val="multilevel"/>
    <w:tmpl w:val="DAC44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B20C9"/>
    <w:multiLevelType w:val="hybridMultilevel"/>
    <w:tmpl w:val="CE02C1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C03F40"/>
    <w:multiLevelType w:val="hybridMultilevel"/>
    <w:tmpl w:val="8FE8459C"/>
    <w:lvl w:ilvl="0" w:tplc="04090003">
      <w:start w:val="1"/>
      <w:numFmt w:val="bullet"/>
      <w:lvlText w:val="o"/>
      <w:lvlJc w:val="left"/>
      <w:pPr>
        <w:ind w:left="1117" w:hanging="397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4DCB2002"/>
    <w:multiLevelType w:val="multilevel"/>
    <w:tmpl w:val="6A76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26937"/>
    <w:multiLevelType w:val="hybridMultilevel"/>
    <w:tmpl w:val="496E90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1658B8"/>
    <w:multiLevelType w:val="hybridMultilevel"/>
    <w:tmpl w:val="B30ED1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665B92"/>
    <w:multiLevelType w:val="multilevel"/>
    <w:tmpl w:val="5B52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4875C6"/>
    <w:multiLevelType w:val="hybridMultilevel"/>
    <w:tmpl w:val="6D721D2E"/>
    <w:lvl w:ilvl="0" w:tplc="0C090001">
      <w:start w:val="1"/>
      <w:numFmt w:val="bullet"/>
      <w:lvlText w:val=""/>
      <w:lvlJc w:val="left"/>
      <w:pPr>
        <w:ind w:left="539" w:hanging="39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939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19" w15:restartNumberingAfterBreak="0">
    <w:nsid w:val="669D5AB2"/>
    <w:multiLevelType w:val="hybridMultilevel"/>
    <w:tmpl w:val="78CC91CA"/>
    <w:lvl w:ilvl="0" w:tplc="EFDA3B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FA27D9"/>
    <w:multiLevelType w:val="hybridMultilevel"/>
    <w:tmpl w:val="6F3CAE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34947"/>
    <w:multiLevelType w:val="multilevel"/>
    <w:tmpl w:val="D9F6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B508E5"/>
    <w:multiLevelType w:val="hybridMultilevel"/>
    <w:tmpl w:val="D036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FF052F"/>
    <w:multiLevelType w:val="hybridMultilevel"/>
    <w:tmpl w:val="CBEA68FA"/>
    <w:lvl w:ilvl="0" w:tplc="ACBE69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15"/>
  </w:num>
  <w:num w:numId="5">
    <w:abstractNumId w:val="12"/>
  </w:num>
  <w:num w:numId="6">
    <w:abstractNumId w:val="19"/>
  </w:num>
  <w:num w:numId="7">
    <w:abstractNumId w:val="22"/>
  </w:num>
  <w:num w:numId="8">
    <w:abstractNumId w:val="23"/>
  </w:num>
  <w:num w:numId="9">
    <w:abstractNumId w:val="16"/>
  </w:num>
  <w:num w:numId="10">
    <w:abstractNumId w:val="9"/>
  </w:num>
  <w:num w:numId="11">
    <w:abstractNumId w:val="6"/>
  </w:num>
  <w:num w:numId="12">
    <w:abstractNumId w:val="4"/>
  </w:num>
  <w:num w:numId="13">
    <w:abstractNumId w:val="13"/>
  </w:num>
  <w:num w:numId="14">
    <w:abstractNumId w:val="7"/>
  </w:num>
  <w:num w:numId="15">
    <w:abstractNumId w:val="2"/>
  </w:num>
  <w:num w:numId="16">
    <w:abstractNumId w:val="8"/>
  </w:num>
  <w:num w:numId="17">
    <w:abstractNumId w:val="11"/>
  </w:num>
  <w:num w:numId="18">
    <w:abstractNumId w:val="10"/>
  </w:num>
  <w:num w:numId="19">
    <w:abstractNumId w:val="1"/>
  </w:num>
  <w:num w:numId="20">
    <w:abstractNumId w:val="17"/>
  </w:num>
  <w:num w:numId="21">
    <w:abstractNumId w:val="5"/>
  </w:num>
  <w:num w:numId="22">
    <w:abstractNumId w:val="14"/>
  </w:num>
  <w:num w:numId="23">
    <w:abstractNumId w:val="21"/>
  </w:num>
  <w:num w:numId="24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54"/>
    <w:rsid w:val="00005895"/>
    <w:rsid w:val="000102CF"/>
    <w:rsid w:val="0001319B"/>
    <w:rsid w:val="00025AD4"/>
    <w:rsid w:val="000428A1"/>
    <w:rsid w:val="000B23B1"/>
    <w:rsid w:val="000C0A6D"/>
    <w:rsid w:val="000C45AB"/>
    <w:rsid w:val="000D0B12"/>
    <w:rsid w:val="000D52BD"/>
    <w:rsid w:val="000F34D8"/>
    <w:rsid w:val="00127546"/>
    <w:rsid w:val="00132ED4"/>
    <w:rsid w:val="00140A0F"/>
    <w:rsid w:val="001511B7"/>
    <w:rsid w:val="001619D7"/>
    <w:rsid w:val="001817B8"/>
    <w:rsid w:val="00182196"/>
    <w:rsid w:val="00185336"/>
    <w:rsid w:val="0018540C"/>
    <w:rsid w:val="00193A6E"/>
    <w:rsid w:val="00194C94"/>
    <w:rsid w:val="00196BA3"/>
    <w:rsid w:val="001A2F75"/>
    <w:rsid w:val="001A515D"/>
    <w:rsid w:val="001A6C14"/>
    <w:rsid w:val="001C2545"/>
    <w:rsid w:val="001F2418"/>
    <w:rsid w:val="00274BB3"/>
    <w:rsid w:val="002A5994"/>
    <w:rsid w:val="002B0B27"/>
    <w:rsid w:val="002B3E68"/>
    <w:rsid w:val="002C7C1F"/>
    <w:rsid w:val="002F58CE"/>
    <w:rsid w:val="00320687"/>
    <w:rsid w:val="00391D35"/>
    <w:rsid w:val="00391FCC"/>
    <w:rsid w:val="003969E8"/>
    <w:rsid w:val="003A2A22"/>
    <w:rsid w:val="003B33FF"/>
    <w:rsid w:val="003D6DA5"/>
    <w:rsid w:val="00440EFF"/>
    <w:rsid w:val="00444FD4"/>
    <w:rsid w:val="004D0A4E"/>
    <w:rsid w:val="004E5C87"/>
    <w:rsid w:val="00527C58"/>
    <w:rsid w:val="00536EC5"/>
    <w:rsid w:val="005438BA"/>
    <w:rsid w:val="00553410"/>
    <w:rsid w:val="00576FF0"/>
    <w:rsid w:val="005907FC"/>
    <w:rsid w:val="005B50BA"/>
    <w:rsid w:val="005E4D42"/>
    <w:rsid w:val="006101DE"/>
    <w:rsid w:val="006325EF"/>
    <w:rsid w:val="00644142"/>
    <w:rsid w:val="00645DC1"/>
    <w:rsid w:val="0066051F"/>
    <w:rsid w:val="00666AC9"/>
    <w:rsid w:val="00683E59"/>
    <w:rsid w:val="00686E26"/>
    <w:rsid w:val="006A61C0"/>
    <w:rsid w:val="006B1E85"/>
    <w:rsid w:val="006C48D3"/>
    <w:rsid w:val="006C4AA1"/>
    <w:rsid w:val="006C7020"/>
    <w:rsid w:val="006C7D1F"/>
    <w:rsid w:val="006D03B7"/>
    <w:rsid w:val="006D11E9"/>
    <w:rsid w:val="006D5F07"/>
    <w:rsid w:val="006E0C24"/>
    <w:rsid w:val="006F11DD"/>
    <w:rsid w:val="007055F5"/>
    <w:rsid w:val="00722882"/>
    <w:rsid w:val="00722B0E"/>
    <w:rsid w:val="0073377B"/>
    <w:rsid w:val="00761154"/>
    <w:rsid w:val="00761750"/>
    <w:rsid w:val="00770725"/>
    <w:rsid w:val="007903F5"/>
    <w:rsid w:val="007932B1"/>
    <w:rsid w:val="007A1B6C"/>
    <w:rsid w:val="007E5396"/>
    <w:rsid w:val="007F0E6A"/>
    <w:rsid w:val="007F13C2"/>
    <w:rsid w:val="00816A30"/>
    <w:rsid w:val="00820700"/>
    <w:rsid w:val="00820889"/>
    <w:rsid w:val="00825C41"/>
    <w:rsid w:val="00826D4D"/>
    <w:rsid w:val="00835FE1"/>
    <w:rsid w:val="008549D0"/>
    <w:rsid w:val="00861C48"/>
    <w:rsid w:val="00871303"/>
    <w:rsid w:val="00871724"/>
    <w:rsid w:val="00876186"/>
    <w:rsid w:val="00881260"/>
    <w:rsid w:val="008A2FDB"/>
    <w:rsid w:val="008C78E5"/>
    <w:rsid w:val="008D5C33"/>
    <w:rsid w:val="008F2A22"/>
    <w:rsid w:val="009C3C25"/>
    <w:rsid w:val="009D5ED2"/>
    <w:rsid w:val="009D6BF8"/>
    <w:rsid w:val="00A01F77"/>
    <w:rsid w:val="00A21DE7"/>
    <w:rsid w:val="00A24A71"/>
    <w:rsid w:val="00A557DC"/>
    <w:rsid w:val="00A62B6C"/>
    <w:rsid w:val="00A77608"/>
    <w:rsid w:val="00AA2EE1"/>
    <w:rsid w:val="00AB3283"/>
    <w:rsid w:val="00AC28AA"/>
    <w:rsid w:val="00AC4274"/>
    <w:rsid w:val="00AC4713"/>
    <w:rsid w:val="00B06916"/>
    <w:rsid w:val="00B2797D"/>
    <w:rsid w:val="00B50450"/>
    <w:rsid w:val="00B51975"/>
    <w:rsid w:val="00B5537C"/>
    <w:rsid w:val="00B5547F"/>
    <w:rsid w:val="00B9554E"/>
    <w:rsid w:val="00BA134B"/>
    <w:rsid w:val="00BD03D4"/>
    <w:rsid w:val="00BE5511"/>
    <w:rsid w:val="00BE7B32"/>
    <w:rsid w:val="00C05032"/>
    <w:rsid w:val="00C0782B"/>
    <w:rsid w:val="00C32018"/>
    <w:rsid w:val="00C41C4B"/>
    <w:rsid w:val="00C631AC"/>
    <w:rsid w:val="00C711D7"/>
    <w:rsid w:val="00C855A8"/>
    <w:rsid w:val="00C85B0A"/>
    <w:rsid w:val="00CB04C2"/>
    <w:rsid w:val="00CC4879"/>
    <w:rsid w:val="00CC57EF"/>
    <w:rsid w:val="00D268F2"/>
    <w:rsid w:val="00D424DC"/>
    <w:rsid w:val="00D45DDD"/>
    <w:rsid w:val="00D534E6"/>
    <w:rsid w:val="00D62CC1"/>
    <w:rsid w:val="00D758F3"/>
    <w:rsid w:val="00DB2B9D"/>
    <w:rsid w:val="00DC0307"/>
    <w:rsid w:val="00DC684E"/>
    <w:rsid w:val="00DE0EF2"/>
    <w:rsid w:val="00DE3CA1"/>
    <w:rsid w:val="00DE4171"/>
    <w:rsid w:val="00E30158"/>
    <w:rsid w:val="00E37C82"/>
    <w:rsid w:val="00E7537F"/>
    <w:rsid w:val="00E81789"/>
    <w:rsid w:val="00E83567"/>
    <w:rsid w:val="00ED61B9"/>
    <w:rsid w:val="00F0785A"/>
    <w:rsid w:val="00F1504D"/>
    <w:rsid w:val="00F24A12"/>
    <w:rsid w:val="00F31351"/>
    <w:rsid w:val="00F92D4F"/>
    <w:rsid w:val="00F96829"/>
    <w:rsid w:val="00FB1B85"/>
    <w:rsid w:val="00FE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31907"/>
  <w15:docId w15:val="{D6708C98-DBF1-43D3-B5AB-53D8BA15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0F34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07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7617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088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889"/>
  </w:style>
  <w:style w:type="paragraph" w:styleId="Footer">
    <w:name w:val="footer"/>
    <w:basedOn w:val="Normal"/>
    <w:link w:val="FooterChar"/>
    <w:uiPriority w:val="99"/>
    <w:unhideWhenUsed/>
    <w:rsid w:val="0082088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889"/>
  </w:style>
  <w:style w:type="paragraph" w:styleId="BalloonText">
    <w:name w:val="Balloon Text"/>
    <w:basedOn w:val="Normal"/>
    <w:link w:val="BalloonTextChar"/>
    <w:uiPriority w:val="99"/>
    <w:semiHidden/>
    <w:unhideWhenUsed/>
    <w:rsid w:val="00861C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218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98">
          <w:marLeft w:val="-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9564">
          <w:marLeft w:val="-8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5622">
          <w:marLeft w:val="-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12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principal</dc:creator>
  <cp:lastModifiedBy>Olga Lyons</cp:lastModifiedBy>
  <cp:revision>13</cp:revision>
  <cp:lastPrinted>2018-02-23T00:18:00Z</cp:lastPrinted>
  <dcterms:created xsi:type="dcterms:W3CDTF">2018-10-26T01:35:00Z</dcterms:created>
  <dcterms:modified xsi:type="dcterms:W3CDTF">2019-02-20T04:13:00Z</dcterms:modified>
</cp:coreProperties>
</file>