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8EC" w:rsidRPr="002C48EC" w:rsidRDefault="00345285" w:rsidP="002C48EC">
      <w:pPr>
        <w:tabs>
          <w:tab w:val="left" w:pos="922"/>
          <w:tab w:val="center" w:pos="3616"/>
        </w:tabs>
        <w:rPr>
          <w:sz w:val="40"/>
          <w:szCs w:val="40"/>
        </w:rPr>
      </w:pPr>
      <w:r w:rsidRPr="002C48EC">
        <w:rPr>
          <w:noProof/>
          <w:sz w:val="40"/>
          <w:szCs w:val="40"/>
          <w:lang w:eastAsia="en-AU"/>
        </w:rPr>
        <w:drawing>
          <wp:anchor distT="0" distB="0" distL="114300" distR="114300" simplePos="0" relativeHeight="251658240" behindDoc="0" locked="0" layoutInCell="1" allowOverlap="1" wp14:anchorId="093C09F4" wp14:editId="5F568871">
            <wp:simplePos x="0" y="0"/>
            <wp:positionH relativeFrom="column">
              <wp:posOffset>-336550</wp:posOffset>
            </wp:positionH>
            <wp:positionV relativeFrom="paragraph">
              <wp:posOffset>-95250</wp:posOffset>
            </wp:positionV>
            <wp:extent cx="1199515" cy="115760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 Logo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1157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8EC">
        <w:tab/>
      </w:r>
      <w:r w:rsidR="002C48EC" w:rsidRPr="002C48EC">
        <w:rPr>
          <w:sz w:val="40"/>
          <w:szCs w:val="40"/>
        </w:rPr>
        <w:t xml:space="preserve">All Saints Parish School </w:t>
      </w:r>
    </w:p>
    <w:p w:rsidR="002C48EC" w:rsidRDefault="002C48EC" w:rsidP="002C48EC">
      <w:pPr>
        <w:tabs>
          <w:tab w:val="left" w:pos="922"/>
          <w:tab w:val="center" w:pos="3616"/>
        </w:tabs>
        <w:rPr>
          <w:sz w:val="40"/>
          <w:szCs w:val="40"/>
        </w:rPr>
      </w:pPr>
      <w:r>
        <w:rPr>
          <w:sz w:val="40"/>
          <w:szCs w:val="40"/>
        </w:rPr>
        <w:t xml:space="preserve">              </w:t>
      </w:r>
      <w:r w:rsidRPr="002C48EC">
        <w:rPr>
          <w:sz w:val="40"/>
          <w:szCs w:val="40"/>
        </w:rPr>
        <w:t>Curriculum Policy</w:t>
      </w:r>
      <w:r w:rsidRPr="002C48EC">
        <w:rPr>
          <w:sz w:val="40"/>
          <w:szCs w:val="40"/>
        </w:rPr>
        <w:tab/>
      </w:r>
    </w:p>
    <w:p w:rsidR="00D67468" w:rsidRDefault="00D67468" w:rsidP="002C48E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Ratified by Leadership: 2014</w:t>
      </w:r>
    </w:p>
    <w:p w:rsidR="00D67468" w:rsidRPr="00D67468" w:rsidRDefault="00D67468" w:rsidP="002C48E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Review: 2018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E04456" w:rsidRPr="00345285" w:rsidRDefault="002C48EC" w:rsidP="000B0E46">
      <w:pPr>
        <w:pStyle w:val="Heading1"/>
        <w:rPr>
          <w:color w:val="auto"/>
        </w:rPr>
      </w:pPr>
      <w:r w:rsidRPr="00345285">
        <w:rPr>
          <w:color w:val="auto"/>
        </w:rPr>
        <w:t>Rationale</w:t>
      </w:r>
    </w:p>
    <w:p w:rsidR="002C48EC" w:rsidRDefault="002C48EC" w:rsidP="002C48EC">
      <w:pPr>
        <w:rPr>
          <w:sz w:val="24"/>
          <w:szCs w:val="24"/>
        </w:rPr>
      </w:pPr>
      <w:r w:rsidRPr="002C48EC">
        <w:rPr>
          <w:sz w:val="24"/>
          <w:szCs w:val="24"/>
        </w:rPr>
        <w:t>At All Saints Parish school, the term curriculum includes all the arrangements our school makes for our students’ learning and personal/interpersonal development.</w:t>
      </w:r>
      <w:r>
        <w:rPr>
          <w:sz w:val="24"/>
          <w:szCs w:val="24"/>
        </w:rPr>
        <w:t xml:space="preserve"> It includes content, student activity, </w:t>
      </w:r>
      <w:r w:rsidR="00D04DEF">
        <w:rPr>
          <w:sz w:val="24"/>
          <w:szCs w:val="24"/>
        </w:rPr>
        <w:t>and pedagogy</w:t>
      </w:r>
      <w:r>
        <w:rPr>
          <w:sz w:val="24"/>
          <w:szCs w:val="24"/>
        </w:rPr>
        <w:t xml:space="preserve"> </w:t>
      </w:r>
      <w:r w:rsidR="00D04DEF">
        <w:rPr>
          <w:sz w:val="24"/>
          <w:szCs w:val="24"/>
        </w:rPr>
        <w:t>as well as</w:t>
      </w:r>
      <w:r>
        <w:rPr>
          <w:sz w:val="24"/>
          <w:szCs w:val="24"/>
        </w:rPr>
        <w:t xml:space="preserve"> classroom organisation.  It also includes the decisions regarding the need for and use of resources and facilities.</w:t>
      </w:r>
    </w:p>
    <w:p w:rsidR="002C48EC" w:rsidRDefault="002C48EC" w:rsidP="002C48EC">
      <w:pPr>
        <w:rPr>
          <w:sz w:val="24"/>
          <w:szCs w:val="24"/>
        </w:rPr>
      </w:pPr>
      <w:r>
        <w:rPr>
          <w:sz w:val="24"/>
          <w:szCs w:val="24"/>
        </w:rPr>
        <w:t>In response to this, our school aims to present a broad, contemporary and comprehensive curriculum that responds to the Vision and Mission statements of our school, in a Christ centred faith community while encouraging each child in our care to flourish a</w:t>
      </w:r>
      <w:r w:rsidR="000B0E46">
        <w:rPr>
          <w:sz w:val="24"/>
          <w:szCs w:val="24"/>
        </w:rPr>
        <w:t xml:space="preserve">nd reach their full potential, according to the Catholic </w:t>
      </w:r>
      <w:r w:rsidR="00D04DEF">
        <w:rPr>
          <w:sz w:val="24"/>
          <w:szCs w:val="24"/>
        </w:rPr>
        <w:t>Mission.</w:t>
      </w:r>
    </w:p>
    <w:p w:rsidR="002C48EC" w:rsidRDefault="002C48EC" w:rsidP="002C48EC">
      <w:pPr>
        <w:rPr>
          <w:sz w:val="24"/>
          <w:szCs w:val="24"/>
        </w:rPr>
      </w:pPr>
      <w:r>
        <w:rPr>
          <w:sz w:val="24"/>
          <w:szCs w:val="24"/>
        </w:rPr>
        <w:t xml:space="preserve">It is our intention to challenge each child while being inclusive of the role of the family </w:t>
      </w:r>
      <w:r w:rsidR="00D04DEF">
        <w:rPr>
          <w:sz w:val="24"/>
          <w:szCs w:val="24"/>
        </w:rPr>
        <w:t xml:space="preserve">and </w:t>
      </w:r>
      <w:r w:rsidR="0027164F">
        <w:rPr>
          <w:sz w:val="24"/>
          <w:szCs w:val="24"/>
        </w:rPr>
        <w:t xml:space="preserve">respectful of </w:t>
      </w:r>
      <w:r w:rsidR="00D04DEF">
        <w:rPr>
          <w:sz w:val="24"/>
          <w:szCs w:val="24"/>
        </w:rPr>
        <w:t xml:space="preserve">their </w:t>
      </w:r>
      <w:r w:rsidR="0027164F">
        <w:rPr>
          <w:sz w:val="24"/>
          <w:szCs w:val="24"/>
        </w:rPr>
        <w:t xml:space="preserve">cultural backgrounds and </w:t>
      </w:r>
      <w:r w:rsidR="00D04DEF">
        <w:rPr>
          <w:sz w:val="24"/>
          <w:szCs w:val="24"/>
        </w:rPr>
        <w:t>religious beliefs</w:t>
      </w:r>
      <w:r>
        <w:rPr>
          <w:sz w:val="24"/>
          <w:szCs w:val="24"/>
        </w:rPr>
        <w:t xml:space="preserve">.   </w:t>
      </w:r>
    </w:p>
    <w:p w:rsidR="000B0E46" w:rsidRPr="00345285" w:rsidRDefault="000B0E46" w:rsidP="000B0E46">
      <w:pPr>
        <w:pStyle w:val="Heading1"/>
        <w:rPr>
          <w:color w:val="auto"/>
        </w:rPr>
      </w:pPr>
      <w:r w:rsidRPr="00345285">
        <w:rPr>
          <w:color w:val="auto"/>
        </w:rPr>
        <w:t>Scriptural Context</w:t>
      </w:r>
    </w:p>
    <w:p w:rsidR="000B0E46" w:rsidRDefault="000B0E46" w:rsidP="000B0E46">
      <w:pPr>
        <w:rPr>
          <w:sz w:val="24"/>
          <w:szCs w:val="24"/>
        </w:rPr>
      </w:pPr>
      <w:r>
        <w:rPr>
          <w:sz w:val="24"/>
          <w:szCs w:val="24"/>
        </w:rPr>
        <w:t>All Saints Parish School endorses Catholic beliefs and practices and is committed to excellence in learning and teaching.  As a faith community, we will nurture each person in the Gospel values lived by Jesus Christ.</w:t>
      </w:r>
    </w:p>
    <w:p w:rsidR="000B0E46" w:rsidRDefault="000B0E46" w:rsidP="000B0E46">
      <w:pPr>
        <w:rPr>
          <w:b/>
          <w:sz w:val="24"/>
          <w:szCs w:val="24"/>
        </w:rPr>
      </w:pPr>
      <w:r>
        <w:rPr>
          <w:b/>
          <w:sz w:val="24"/>
          <w:szCs w:val="24"/>
        </w:rPr>
        <w:t>“Go out in to the world and teach all nations” Matthew 28:19</w:t>
      </w:r>
    </w:p>
    <w:p w:rsidR="000B0E46" w:rsidRDefault="000B0E46" w:rsidP="000B0E4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“Let the children come to me…do not stop them for it is </w:t>
      </w:r>
      <w:proofErr w:type="spellStart"/>
      <w:r>
        <w:rPr>
          <w:b/>
          <w:sz w:val="24"/>
          <w:szCs w:val="24"/>
        </w:rPr>
        <w:t>to</w:t>
      </w:r>
      <w:proofErr w:type="spellEnd"/>
      <w:r>
        <w:rPr>
          <w:b/>
          <w:sz w:val="24"/>
          <w:szCs w:val="24"/>
        </w:rPr>
        <w:t xml:space="preserve"> such as these that the kingdom of heaven belongs” Matthew 18:15</w:t>
      </w:r>
    </w:p>
    <w:p w:rsidR="000B0E46" w:rsidRPr="00345285" w:rsidRDefault="000B0E46" w:rsidP="000B0E46">
      <w:pPr>
        <w:pStyle w:val="Heading1"/>
        <w:rPr>
          <w:color w:val="auto"/>
        </w:rPr>
      </w:pPr>
      <w:r w:rsidRPr="00345285">
        <w:rPr>
          <w:color w:val="auto"/>
        </w:rPr>
        <w:t>Policy Statement</w:t>
      </w:r>
    </w:p>
    <w:p w:rsidR="002C48EC" w:rsidRDefault="000B0E46" w:rsidP="002C48EC">
      <w:pPr>
        <w:rPr>
          <w:sz w:val="24"/>
          <w:szCs w:val="24"/>
        </w:rPr>
      </w:pPr>
      <w:r>
        <w:rPr>
          <w:sz w:val="24"/>
          <w:szCs w:val="24"/>
        </w:rPr>
        <w:t>We will present a curriculum based on the “Awakenings” Religious Education document as mandated by the Bishop of the Ballar</w:t>
      </w:r>
      <w:r w:rsidR="00E45E21">
        <w:rPr>
          <w:sz w:val="24"/>
          <w:szCs w:val="24"/>
        </w:rPr>
        <w:t>a</w:t>
      </w:r>
      <w:r>
        <w:rPr>
          <w:sz w:val="24"/>
          <w:szCs w:val="24"/>
        </w:rPr>
        <w:t>t Diocese, and on the Australian and Victorian Essential Learnings and Standards (</w:t>
      </w:r>
      <w:proofErr w:type="spellStart"/>
      <w:r>
        <w:rPr>
          <w:sz w:val="24"/>
          <w:szCs w:val="24"/>
        </w:rPr>
        <w:t>AusVELS</w:t>
      </w:r>
      <w:proofErr w:type="spellEnd"/>
      <w:r>
        <w:rPr>
          <w:sz w:val="24"/>
          <w:szCs w:val="24"/>
        </w:rPr>
        <w:t xml:space="preserve">), as endorsed by the Catholic Education Commission of Victoria (CECV). </w:t>
      </w:r>
    </w:p>
    <w:p w:rsidR="00C13389" w:rsidRDefault="00C13389" w:rsidP="002C48EC">
      <w:pPr>
        <w:rPr>
          <w:sz w:val="24"/>
          <w:szCs w:val="24"/>
        </w:rPr>
      </w:pPr>
    </w:p>
    <w:p w:rsidR="00C13389" w:rsidRDefault="00C13389" w:rsidP="002C48EC">
      <w:pPr>
        <w:rPr>
          <w:sz w:val="24"/>
          <w:szCs w:val="24"/>
        </w:rPr>
      </w:pPr>
    </w:p>
    <w:p w:rsidR="00C13389" w:rsidRDefault="00C13389" w:rsidP="002C48EC">
      <w:pPr>
        <w:rPr>
          <w:sz w:val="24"/>
          <w:szCs w:val="24"/>
        </w:rPr>
      </w:pPr>
    </w:p>
    <w:p w:rsidR="00C13389" w:rsidRPr="00345285" w:rsidRDefault="00C13389" w:rsidP="00750F8C">
      <w:pPr>
        <w:pStyle w:val="Heading1"/>
        <w:jc w:val="center"/>
        <w:rPr>
          <w:color w:val="auto"/>
        </w:rPr>
      </w:pPr>
      <w:r w:rsidRPr="00345285">
        <w:rPr>
          <w:color w:val="auto"/>
        </w:rPr>
        <w:t>Policy Guidelines</w:t>
      </w:r>
      <w:r w:rsidR="00815001" w:rsidRPr="00345285">
        <w:rPr>
          <w:color w:val="auto"/>
        </w:rPr>
        <w:tab/>
      </w:r>
      <w:r w:rsidR="00815001" w:rsidRPr="00345285">
        <w:rPr>
          <w:color w:val="auto"/>
        </w:rPr>
        <w:tab/>
      </w:r>
      <w:r w:rsidR="00815001" w:rsidRPr="00345285">
        <w:rPr>
          <w:color w:val="auto"/>
        </w:rPr>
        <w:tab/>
      </w:r>
      <w:r w:rsidR="00815001" w:rsidRPr="00345285">
        <w:rPr>
          <w:color w:val="auto"/>
        </w:rPr>
        <w:tab/>
        <w:t>Indicators</w:t>
      </w:r>
    </w:p>
    <w:tbl>
      <w:tblPr>
        <w:tblStyle w:val="MediumList1-Accent4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13389" w:rsidTr="00E45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</w:tcPr>
          <w:p w:rsidR="00C13389" w:rsidRPr="00353640" w:rsidRDefault="00C13389" w:rsidP="00C13389">
            <w:pPr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Religious Education will be underpinned by the ‘Awakenings” Core document.  Curriculum content in Religious Education will be linked to the other domains of the </w:t>
            </w:r>
            <w:proofErr w:type="spellStart"/>
            <w:r w:rsidRPr="00353640">
              <w:rPr>
                <w:sz w:val="20"/>
                <w:szCs w:val="20"/>
              </w:rPr>
              <w:t>AusVELS</w:t>
            </w:r>
            <w:proofErr w:type="spellEnd"/>
            <w:r w:rsidRPr="00353640">
              <w:rPr>
                <w:sz w:val="20"/>
                <w:szCs w:val="20"/>
              </w:rPr>
              <w:t xml:space="preserve"> curriculum.</w:t>
            </w:r>
          </w:p>
        </w:tc>
        <w:tc>
          <w:tcPr>
            <w:tcW w:w="4621" w:type="dxa"/>
          </w:tcPr>
          <w:p w:rsidR="00C13389" w:rsidRPr="00353640" w:rsidRDefault="00C13389" w:rsidP="00C13389">
            <w:pPr>
              <w:pStyle w:val="ListParagraph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Teachers will be familiar with the Awakenings core document</w:t>
            </w:r>
            <w:r w:rsidR="00E45E21">
              <w:rPr>
                <w:sz w:val="20"/>
                <w:szCs w:val="20"/>
              </w:rPr>
              <w:t>.</w:t>
            </w:r>
          </w:p>
          <w:p w:rsidR="00C13389" w:rsidRPr="00353640" w:rsidRDefault="00C13389" w:rsidP="00C13389">
            <w:pPr>
              <w:pStyle w:val="ListParagraph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Teachers will plan and present units of work explicitly teaching the Awakenings curriculum content using the Shared Christian Praxis pedagogy and online resources.</w:t>
            </w:r>
          </w:p>
          <w:p w:rsidR="00C24334" w:rsidRPr="00353640" w:rsidRDefault="00C13389" w:rsidP="00C24334">
            <w:pPr>
              <w:pStyle w:val="ListParagraph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Students </w:t>
            </w:r>
            <w:r w:rsidR="00D04DEF">
              <w:rPr>
                <w:sz w:val="20"/>
                <w:szCs w:val="20"/>
              </w:rPr>
              <w:t xml:space="preserve">will </w:t>
            </w:r>
            <w:r w:rsidRPr="00353640">
              <w:rPr>
                <w:sz w:val="20"/>
                <w:szCs w:val="20"/>
              </w:rPr>
              <w:t xml:space="preserve">explore and develop </w:t>
            </w:r>
            <w:r w:rsidR="00C24334" w:rsidRPr="00353640">
              <w:rPr>
                <w:sz w:val="20"/>
                <w:szCs w:val="20"/>
              </w:rPr>
              <w:t>their knowledge of the Catholic Traditions while being immersed in faith experiences relevant to contemporary society.</w:t>
            </w:r>
          </w:p>
          <w:p w:rsidR="00C24334" w:rsidRPr="00353640" w:rsidRDefault="00C24334" w:rsidP="00C24334">
            <w:pPr>
              <w:pStyle w:val="ListParagraph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Students will develop their own personal spirituality through meaningful prayer and reflection experiences.</w:t>
            </w:r>
          </w:p>
          <w:p w:rsidR="00C13389" w:rsidRPr="00353640" w:rsidRDefault="00C24334" w:rsidP="00C24334">
            <w:pPr>
              <w:pStyle w:val="ListParagraph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Students will develop a sense of social justice in connection with the Catholic Social Teachings. </w:t>
            </w:r>
          </w:p>
        </w:tc>
      </w:tr>
      <w:tr w:rsidR="00C13389" w:rsidTr="00E45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</w:tcPr>
          <w:p w:rsidR="00C13389" w:rsidRPr="00353640" w:rsidRDefault="00C24334" w:rsidP="00C24334">
            <w:pPr>
              <w:rPr>
                <w:sz w:val="20"/>
                <w:szCs w:val="20"/>
              </w:rPr>
            </w:pPr>
            <w:proofErr w:type="spellStart"/>
            <w:r w:rsidRPr="00353640">
              <w:rPr>
                <w:sz w:val="20"/>
                <w:szCs w:val="20"/>
              </w:rPr>
              <w:t>AusVELS</w:t>
            </w:r>
            <w:proofErr w:type="spellEnd"/>
            <w:r w:rsidRPr="00353640">
              <w:rPr>
                <w:sz w:val="20"/>
                <w:szCs w:val="20"/>
              </w:rPr>
              <w:t xml:space="preserve"> will form the basis of a challenging, rich and diverse classroom teaching program. </w:t>
            </w:r>
          </w:p>
        </w:tc>
        <w:tc>
          <w:tcPr>
            <w:tcW w:w="4621" w:type="dxa"/>
          </w:tcPr>
          <w:p w:rsidR="00C13389" w:rsidRPr="00353640" w:rsidRDefault="00C24334" w:rsidP="00C24334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Teacher</w:t>
            </w:r>
            <w:r w:rsidR="00E45E21">
              <w:rPr>
                <w:sz w:val="20"/>
                <w:szCs w:val="20"/>
              </w:rPr>
              <w:t>s</w:t>
            </w:r>
            <w:r w:rsidRPr="00353640">
              <w:rPr>
                <w:sz w:val="20"/>
                <w:szCs w:val="20"/>
              </w:rPr>
              <w:t xml:space="preserve"> will be familiar with the rationale, content and structure of the </w:t>
            </w:r>
            <w:proofErr w:type="spellStart"/>
            <w:r w:rsidRPr="00353640">
              <w:rPr>
                <w:sz w:val="20"/>
                <w:szCs w:val="20"/>
              </w:rPr>
              <w:t>AusVELS</w:t>
            </w:r>
            <w:proofErr w:type="spellEnd"/>
            <w:r w:rsidRPr="00353640">
              <w:rPr>
                <w:sz w:val="20"/>
                <w:szCs w:val="20"/>
              </w:rPr>
              <w:t xml:space="preserve"> curriculum.</w:t>
            </w:r>
          </w:p>
          <w:p w:rsidR="00C24334" w:rsidRPr="00353640" w:rsidRDefault="00C24334" w:rsidP="00C24334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Curriculum implementation, pedagogy and activities will align with the Principles of Learning and Teaching (</w:t>
            </w:r>
            <w:proofErr w:type="spellStart"/>
            <w:r w:rsidRPr="00353640">
              <w:rPr>
                <w:sz w:val="20"/>
                <w:szCs w:val="20"/>
              </w:rPr>
              <w:t>PoLT</w:t>
            </w:r>
            <w:proofErr w:type="spellEnd"/>
            <w:r w:rsidRPr="00353640">
              <w:rPr>
                <w:sz w:val="20"/>
                <w:szCs w:val="20"/>
              </w:rPr>
              <w:t>)</w:t>
            </w:r>
            <w:r w:rsidR="00E45E21">
              <w:rPr>
                <w:sz w:val="20"/>
                <w:szCs w:val="20"/>
              </w:rPr>
              <w:t>.</w:t>
            </w:r>
          </w:p>
          <w:p w:rsidR="00C24334" w:rsidRPr="00353640" w:rsidRDefault="00C24334" w:rsidP="00C24334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Teachers will competently and consistently use assessment OF, FOR and AS learning to determine a personalised pathway to success.  </w:t>
            </w:r>
          </w:p>
          <w:p w:rsidR="00C24334" w:rsidRPr="00353640" w:rsidRDefault="00815001" w:rsidP="0081500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Teachers will plan in teams using the </w:t>
            </w:r>
            <w:proofErr w:type="spellStart"/>
            <w:r w:rsidRPr="00353640">
              <w:rPr>
                <w:sz w:val="20"/>
                <w:szCs w:val="20"/>
              </w:rPr>
              <w:t>AusVELS</w:t>
            </w:r>
            <w:proofErr w:type="spellEnd"/>
            <w:r w:rsidRPr="00353640">
              <w:rPr>
                <w:sz w:val="20"/>
                <w:szCs w:val="20"/>
              </w:rPr>
              <w:t xml:space="preserve"> standards, resources and planning tools to present relevant units of work.</w:t>
            </w:r>
          </w:p>
          <w:p w:rsidR="00815001" w:rsidRPr="00353640" w:rsidRDefault="00815001" w:rsidP="0081500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Expectations will be made explicit to assist all students to succeed and </w:t>
            </w:r>
            <w:r w:rsidR="00750F8C" w:rsidRPr="00353640">
              <w:rPr>
                <w:sz w:val="20"/>
                <w:szCs w:val="20"/>
              </w:rPr>
              <w:t>excel</w:t>
            </w:r>
            <w:r w:rsidRPr="00353640">
              <w:rPr>
                <w:sz w:val="20"/>
                <w:szCs w:val="20"/>
              </w:rPr>
              <w:t>.</w:t>
            </w:r>
          </w:p>
          <w:p w:rsidR="00815001" w:rsidRPr="00353640" w:rsidRDefault="00815001" w:rsidP="0081500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Learning Intentions and Success Criteria will be made explicit for the students so that they know what they are learning and why.</w:t>
            </w:r>
          </w:p>
        </w:tc>
      </w:tr>
      <w:tr w:rsidR="00C13389" w:rsidTr="00E45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</w:tcPr>
          <w:p w:rsidR="00C13389" w:rsidRPr="00353640" w:rsidRDefault="00815001" w:rsidP="00C13389">
            <w:pPr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Our curriculum will be supported by contemporary and relevant resources and facilities.</w:t>
            </w:r>
          </w:p>
        </w:tc>
        <w:tc>
          <w:tcPr>
            <w:tcW w:w="4621" w:type="dxa"/>
          </w:tcPr>
          <w:p w:rsidR="00C13389" w:rsidRPr="00353640" w:rsidRDefault="00815001" w:rsidP="00815001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Our classroom structures </w:t>
            </w:r>
            <w:r w:rsidR="00D04DEF">
              <w:rPr>
                <w:sz w:val="20"/>
                <w:szCs w:val="20"/>
              </w:rPr>
              <w:t xml:space="preserve">will </w:t>
            </w:r>
            <w:r w:rsidRPr="00353640">
              <w:rPr>
                <w:sz w:val="20"/>
                <w:szCs w:val="20"/>
              </w:rPr>
              <w:t>support a stimulating, safe and personalised learning environment.</w:t>
            </w:r>
          </w:p>
          <w:p w:rsidR="00815001" w:rsidRPr="00353640" w:rsidRDefault="00815001" w:rsidP="00815001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Our teachers</w:t>
            </w:r>
            <w:r w:rsidR="00D04DEF">
              <w:rPr>
                <w:sz w:val="20"/>
                <w:szCs w:val="20"/>
              </w:rPr>
              <w:t xml:space="preserve"> will</w:t>
            </w:r>
            <w:r w:rsidRPr="00353640">
              <w:rPr>
                <w:sz w:val="20"/>
                <w:szCs w:val="20"/>
              </w:rPr>
              <w:t xml:space="preserve"> maintain comprehensive planning documents and assessment data.</w:t>
            </w:r>
          </w:p>
          <w:p w:rsidR="00815001" w:rsidRPr="00353640" w:rsidRDefault="00815001" w:rsidP="00815001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Teachers </w:t>
            </w:r>
            <w:r w:rsidR="00D04DEF">
              <w:rPr>
                <w:sz w:val="20"/>
                <w:szCs w:val="20"/>
              </w:rPr>
              <w:t xml:space="preserve">will </w:t>
            </w:r>
            <w:r w:rsidRPr="00353640">
              <w:rPr>
                <w:sz w:val="20"/>
                <w:szCs w:val="20"/>
              </w:rPr>
              <w:t>use contemporary digital and material resources</w:t>
            </w:r>
            <w:r w:rsidR="00E45E21">
              <w:rPr>
                <w:sz w:val="20"/>
                <w:szCs w:val="20"/>
              </w:rPr>
              <w:t>.</w:t>
            </w:r>
          </w:p>
          <w:p w:rsidR="00815001" w:rsidRPr="00353640" w:rsidRDefault="00D04DEF" w:rsidP="00815001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progress will be</w:t>
            </w:r>
            <w:r w:rsidR="00815001" w:rsidRPr="00353640">
              <w:rPr>
                <w:sz w:val="20"/>
                <w:szCs w:val="20"/>
              </w:rPr>
              <w:t xml:space="preserve"> reported to the parents twice a year with a Learning Conversation mid-year.</w:t>
            </w:r>
          </w:p>
        </w:tc>
      </w:tr>
      <w:tr w:rsidR="00C13389" w:rsidTr="00E45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</w:tcPr>
          <w:p w:rsidR="00C13389" w:rsidRPr="00353640" w:rsidRDefault="00815001" w:rsidP="00C13389">
            <w:pPr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The school will develop, maintain and sustain a comprehensive curriculum plan that will provide direction for programme implementation, evaluation and general classroom organisation.</w:t>
            </w:r>
          </w:p>
        </w:tc>
        <w:tc>
          <w:tcPr>
            <w:tcW w:w="4621" w:type="dxa"/>
          </w:tcPr>
          <w:p w:rsidR="00F41EA4" w:rsidRPr="00353640" w:rsidRDefault="00D04DEF" w:rsidP="00815001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school will create</w:t>
            </w:r>
            <w:r w:rsidR="00F41EA4" w:rsidRPr="00353640">
              <w:rPr>
                <w:sz w:val="20"/>
                <w:szCs w:val="20"/>
              </w:rPr>
              <w:t xml:space="preserve"> a comprehensive curriculum plan that works towards the </w:t>
            </w:r>
            <w:proofErr w:type="spellStart"/>
            <w:r w:rsidR="00F41EA4" w:rsidRPr="00353640">
              <w:rPr>
                <w:sz w:val="20"/>
                <w:szCs w:val="20"/>
              </w:rPr>
              <w:t>AusVELS</w:t>
            </w:r>
            <w:proofErr w:type="spellEnd"/>
            <w:r w:rsidR="00F41EA4" w:rsidRPr="00353640">
              <w:rPr>
                <w:sz w:val="20"/>
                <w:szCs w:val="20"/>
              </w:rPr>
              <w:t xml:space="preserve"> standards.</w:t>
            </w:r>
          </w:p>
          <w:p w:rsidR="00815001" w:rsidRPr="00353640" w:rsidRDefault="00815001" w:rsidP="00F41EA4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 xml:space="preserve">Teachers </w:t>
            </w:r>
            <w:r w:rsidR="00D04DEF">
              <w:rPr>
                <w:sz w:val="20"/>
                <w:szCs w:val="20"/>
              </w:rPr>
              <w:t>will be</w:t>
            </w:r>
            <w:r w:rsidRPr="00353640">
              <w:rPr>
                <w:sz w:val="20"/>
                <w:szCs w:val="20"/>
              </w:rPr>
              <w:t xml:space="preserve"> familiar with and guided by the school’s curriculum plan and student needs/interests.</w:t>
            </w:r>
          </w:p>
        </w:tc>
      </w:tr>
      <w:tr w:rsidR="00E45E21" w:rsidTr="00E45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</w:tcPr>
          <w:p w:rsidR="00E45E21" w:rsidRPr="00353640" w:rsidRDefault="00E45E21" w:rsidP="00A153F4">
            <w:pPr>
              <w:rPr>
                <w:sz w:val="20"/>
                <w:szCs w:val="20"/>
              </w:rPr>
            </w:pPr>
            <w:r w:rsidRPr="00353640">
              <w:rPr>
                <w:sz w:val="20"/>
                <w:szCs w:val="20"/>
              </w:rPr>
              <w:t>Languages Other Than English will be incorporated into the curriculum.</w:t>
            </w:r>
          </w:p>
        </w:tc>
        <w:tc>
          <w:tcPr>
            <w:tcW w:w="4621" w:type="dxa"/>
          </w:tcPr>
          <w:p w:rsidR="00E45E21" w:rsidRPr="00FE7C56" w:rsidRDefault="00E45E21" w:rsidP="00A153F4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Our Language other than English will be Indonesian from 2015.</w:t>
            </w:r>
          </w:p>
        </w:tc>
      </w:tr>
    </w:tbl>
    <w:p w:rsidR="00353640" w:rsidRDefault="00353640" w:rsidP="00C13389">
      <w:pPr>
        <w:rPr>
          <w:sz w:val="24"/>
          <w:szCs w:val="24"/>
        </w:rPr>
      </w:pPr>
    </w:p>
    <w:p w:rsidR="00353640" w:rsidRPr="00345285" w:rsidRDefault="00D04DEF" w:rsidP="00353640">
      <w:pPr>
        <w:pStyle w:val="Heading1"/>
        <w:rPr>
          <w:color w:val="auto"/>
        </w:rPr>
      </w:pPr>
      <w:r w:rsidRPr="00345285">
        <w:rPr>
          <w:color w:val="auto"/>
        </w:rPr>
        <w:lastRenderedPageBreak/>
        <w:t>Curriculum Content</w:t>
      </w:r>
    </w:p>
    <w:p w:rsidR="00C13389" w:rsidRDefault="00353640" w:rsidP="00353640">
      <w:pPr>
        <w:rPr>
          <w:sz w:val="24"/>
          <w:szCs w:val="24"/>
        </w:rPr>
      </w:pPr>
      <w:r>
        <w:rPr>
          <w:sz w:val="24"/>
          <w:szCs w:val="24"/>
        </w:rPr>
        <w:t>Teachers will develop, maintain and sustain Religious Education curriculum documents and practices based on the seven content strands of the “Awakenings” curriculum strands:</w:t>
      </w:r>
    </w:p>
    <w:p w:rsidR="00353640" w:rsidRDefault="00353640" w:rsidP="0035364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Christian Prayer</w:t>
      </w:r>
    </w:p>
    <w:p w:rsidR="00353640" w:rsidRDefault="00353640" w:rsidP="0035364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Sacraments</w:t>
      </w:r>
    </w:p>
    <w:p w:rsidR="00353640" w:rsidRDefault="00353640" w:rsidP="0035364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Religion and society</w:t>
      </w:r>
    </w:p>
    <w:p w:rsidR="00353640" w:rsidRDefault="00353640" w:rsidP="0035364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God</w:t>
      </w:r>
    </w:p>
    <w:p w:rsidR="00353640" w:rsidRDefault="00353640" w:rsidP="0035364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Christian Life</w:t>
      </w:r>
    </w:p>
    <w:p w:rsidR="00353640" w:rsidRDefault="00353640" w:rsidP="0035364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Jesus Christ</w:t>
      </w:r>
    </w:p>
    <w:p w:rsidR="00353640" w:rsidRDefault="00353640" w:rsidP="0035364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Scripture</w:t>
      </w:r>
    </w:p>
    <w:p w:rsidR="00353640" w:rsidRDefault="00353640" w:rsidP="0035364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Church</w:t>
      </w:r>
    </w:p>
    <w:p w:rsidR="00353640" w:rsidRDefault="00353640" w:rsidP="00353640">
      <w:pPr>
        <w:rPr>
          <w:sz w:val="24"/>
          <w:szCs w:val="24"/>
        </w:rPr>
      </w:pPr>
      <w:r>
        <w:rPr>
          <w:sz w:val="24"/>
          <w:szCs w:val="24"/>
        </w:rPr>
        <w:t>Teachers will develop, maintain and sustain curriculum documentation and practice</w:t>
      </w:r>
      <w:r w:rsidR="00D04DEF">
        <w:rPr>
          <w:sz w:val="24"/>
          <w:szCs w:val="24"/>
        </w:rPr>
        <w:t xml:space="preserve">s based on the </w:t>
      </w:r>
      <w:proofErr w:type="spellStart"/>
      <w:r w:rsidR="00D04DEF">
        <w:rPr>
          <w:sz w:val="24"/>
          <w:szCs w:val="24"/>
        </w:rPr>
        <w:t>AusVELS</w:t>
      </w:r>
      <w:proofErr w:type="spellEnd"/>
      <w:r w:rsidR="00D04DEF">
        <w:rPr>
          <w:sz w:val="24"/>
          <w:szCs w:val="24"/>
        </w:rPr>
        <w:t xml:space="preserve"> structure:</w:t>
      </w:r>
      <w:r w:rsidRPr="00353640">
        <w:rPr>
          <w:sz w:val="24"/>
          <w:szCs w:val="24"/>
        </w:rPr>
        <w:t xml:space="preserve"> </w:t>
      </w:r>
    </w:p>
    <w:tbl>
      <w:tblPr>
        <w:tblStyle w:val="MediumShading1-Accent4"/>
        <w:tblW w:w="6237" w:type="dxa"/>
        <w:jc w:val="center"/>
        <w:tblLook w:val="04A0" w:firstRow="1" w:lastRow="0" w:firstColumn="1" w:lastColumn="0" w:noHBand="0" w:noVBand="1"/>
      </w:tblPr>
      <w:tblGrid>
        <w:gridCol w:w="3284"/>
        <w:gridCol w:w="2953"/>
      </w:tblGrid>
      <w:tr w:rsidR="00995FE9" w:rsidTr="00D674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:rsidR="00995FE9" w:rsidRPr="00D04DEF" w:rsidRDefault="00995FE9" w:rsidP="00240987">
            <w:pPr>
              <w:pStyle w:val="Heading2"/>
              <w:jc w:val="center"/>
              <w:outlineLvl w:val="1"/>
              <w:rPr>
                <w:color w:val="auto"/>
              </w:rPr>
            </w:pPr>
            <w:r w:rsidRPr="00D04DEF">
              <w:rPr>
                <w:color w:val="auto"/>
              </w:rPr>
              <w:t>Learning Areas</w:t>
            </w:r>
          </w:p>
        </w:tc>
        <w:tc>
          <w:tcPr>
            <w:tcW w:w="2953" w:type="dxa"/>
          </w:tcPr>
          <w:p w:rsidR="00995FE9" w:rsidRPr="00D04DEF" w:rsidRDefault="00995FE9" w:rsidP="00240987">
            <w:pPr>
              <w:pStyle w:val="Heading2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04DEF">
              <w:rPr>
                <w:color w:val="auto"/>
              </w:rPr>
              <w:t>General Capabilities</w:t>
            </w:r>
          </w:p>
        </w:tc>
      </w:tr>
      <w:tr w:rsidR="00995FE9" w:rsidTr="00D674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:rsidR="00995FE9" w:rsidRPr="00D67468" w:rsidRDefault="00995FE9" w:rsidP="00240987">
            <w:pPr>
              <w:rPr>
                <w:b w:val="0"/>
                <w:sz w:val="20"/>
                <w:szCs w:val="20"/>
              </w:rPr>
            </w:pPr>
            <w:r w:rsidRPr="00D67468">
              <w:rPr>
                <w:b w:val="0"/>
                <w:sz w:val="20"/>
                <w:szCs w:val="20"/>
              </w:rPr>
              <w:t xml:space="preserve">• English </w:t>
            </w:r>
          </w:p>
          <w:p w:rsidR="00995FE9" w:rsidRPr="00D67468" w:rsidRDefault="00995FE9" w:rsidP="00240987">
            <w:pPr>
              <w:rPr>
                <w:b w:val="0"/>
                <w:sz w:val="20"/>
                <w:szCs w:val="20"/>
              </w:rPr>
            </w:pPr>
            <w:r w:rsidRPr="00D67468">
              <w:rPr>
                <w:b w:val="0"/>
                <w:sz w:val="20"/>
                <w:szCs w:val="20"/>
              </w:rPr>
              <w:t xml:space="preserve">• Mathematics </w:t>
            </w:r>
          </w:p>
          <w:p w:rsidR="00995FE9" w:rsidRPr="00D67468" w:rsidRDefault="00995FE9" w:rsidP="00240987">
            <w:pPr>
              <w:rPr>
                <w:b w:val="0"/>
                <w:sz w:val="20"/>
                <w:szCs w:val="20"/>
              </w:rPr>
            </w:pPr>
            <w:r w:rsidRPr="00D67468">
              <w:rPr>
                <w:b w:val="0"/>
                <w:sz w:val="20"/>
                <w:szCs w:val="20"/>
              </w:rPr>
              <w:t xml:space="preserve">• Science </w:t>
            </w:r>
          </w:p>
          <w:p w:rsidR="00995FE9" w:rsidRPr="00D67468" w:rsidRDefault="00995FE9" w:rsidP="00240987">
            <w:pPr>
              <w:rPr>
                <w:b w:val="0"/>
                <w:sz w:val="20"/>
                <w:szCs w:val="20"/>
              </w:rPr>
            </w:pPr>
            <w:r w:rsidRPr="00D67468">
              <w:rPr>
                <w:b w:val="0"/>
                <w:sz w:val="20"/>
                <w:szCs w:val="20"/>
              </w:rPr>
              <w:t xml:space="preserve">• Health and Physical Education </w:t>
            </w:r>
          </w:p>
          <w:p w:rsidR="00995FE9" w:rsidRPr="00D67468" w:rsidRDefault="00995FE9" w:rsidP="00240987">
            <w:pPr>
              <w:rPr>
                <w:b w:val="0"/>
                <w:sz w:val="20"/>
                <w:szCs w:val="20"/>
              </w:rPr>
            </w:pPr>
            <w:r w:rsidRPr="00D67468">
              <w:rPr>
                <w:b w:val="0"/>
                <w:sz w:val="20"/>
                <w:szCs w:val="20"/>
              </w:rPr>
              <w:t xml:space="preserve">• Languages </w:t>
            </w:r>
          </w:p>
          <w:p w:rsidR="00995FE9" w:rsidRPr="00D67468" w:rsidRDefault="00995FE9" w:rsidP="00240987">
            <w:pPr>
              <w:rPr>
                <w:b w:val="0"/>
                <w:sz w:val="20"/>
                <w:szCs w:val="20"/>
              </w:rPr>
            </w:pPr>
            <w:r w:rsidRPr="00D67468">
              <w:rPr>
                <w:b w:val="0"/>
                <w:sz w:val="20"/>
                <w:szCs w:val="20"/>
              </w:rPr>
              <w:t xml:space="preserve">• Humanities and Social Sciences </w:t>
            </w:r>
          </w:p>
          <w:p w:rsidR="00995FE9" w:rsidRPr="00D67468" w:rsidRDefault="00995FE9" w:rsidP="00240987">
            <w:pPr>
              <w:rPr>
                <w:b w:val="0"/>
                <w:sz w:val="20"/>
                <w:szCs w:val="20"/>
              </w:rPr>
            </w:pPr>
            <w:r w:rsidRPr="00D67468">
              <w:rPr>
                <w:b w:val="0"/>
                <w:sz w:val="20"/>
                <w:szCs w:val="20"/>
              </w:rPr>
              <w:t xml:space="preserve">(History, Geography, Civics and </w:t>
            </w:r>
          </w:p>
          <w:p w:rsidR="00995FE9" w:rsidRPr="00D67468" w:rsidRDefault="00995FE9" w:rsidP="00240987">
            <w:pPr>
              <w:rPr>
                <w:b w:val="0"/>
                <w:sz w:val="20"/>
                <w:szCs w:val="20"/>
              </w:rPr>
            </w:pPr>
            <w:r w:rsidRPr="00D67468">
              <w:rPr>
                <w:b w:val="0"/>
                <w:sz w:val="20"/>
                <w:szCs w:val="20"/>
              </w:rPr>
              <w:t xml:space="preserve">Citizenship, Economics and </w:t>
            </w:r>
          </w:p>
          <w:p w:rsidR="00995FE9" w:rsidRPr="00D67468" w:rsidRDefault="00995FE9" w:rsidP="00240987">
            <w:pPr>
              <w:rPr>
                <w:b w:val="0"/>
                <w:sz w:val="20"/>
                <w:szCs w:val="20"/>
              </w:rPr>
            </w:pPr>
            <w:r w:rsidRPr="00D67468">
              <w:rPr>
                <w:b w:val="0"/>
                <w:sz w:val="20"/>
                <w:szCs w:val="20"/>
              </w:rPr>
              <w:t xml:space="preserve">Business) </w:t>
            </w:r>
          </w:p>
          <w:p w:rsidR="00995FE9" w:rsidRPr="00D67468" w:rsidRDefault="00995FE9" w:rsidP="00240987">
            <w:pPr>
              <w:rPr>
                <w:b w:val="0"/>
                <w:sz w:val="20"/>
                <w:szCs w:val="20"/>
              </w:rPr>
            </w:pPr>
            <w:r w:rsidRPr="00D67468">
              <w:rPr>
                <w:b w:val="0"/>
                <w:sz w:val="20"/>
                <w:szCs w:val="20"/>
              </w:rPr>
              <w:t xml:space="preserve">• The Arts (Performing and Visual) </w:t>
            </w:r>
          </w:p>
          <w:p w:rsidR="00995FE9" w:rsidRPr="00D67468" w:rsidRDefault="00995FE9" w:rsidP="00240987">
            <w:pPr>
              <w:rPr>
                <w:b w:val="0"/>
                <w:sz w:val="20"/>
                <w:szCs w:val="20"/>
              </w:rPr>
            </w:pPr>
            <w:r w:rsidRPr="00D67468">
              <w:rPr>
                <w:b w:val="0"/>
                <w:sz w:val="20"/>
                <w:szCs w:val="20"/>
              </w:rPr>
              <w:t xml:space="preserve">• Technologies (Design and </w:t>
            </w:r>
          </w:p>
          <w:p w:rsidR="00995FE9" w:rsidRPr="00D67468" w:rsidRDefault="00995FE9" w:rsidP="00240987">
            <w:pPr>
              <w:rPr>
                <w:b w:val="0"/>
                <w:sz w:val="20"/>
                <w:szCs w:val="20"/>
              </w:rPr>
            </w:pPr>
            <w:r w:rsidRPr="00D67468">
              <w:rPr>
                <w:b w:val="0"/>
                <w:sz w:val="20"/>
                <w:szCs w:val="20"/>
              </w:rPr>
              <w:t xml:space="preserve">Technologies; Digital </w:t>
            </w:r>
          </w:p>
          <w:p w:rsidR="00995FE9" w:rsidRPr="00D04DEF" w:rsidRDefault="00995FE9" w:rsidP="00240987">
            <w:pPr>
              <w:rPr>
                <w:i/>
                <w:sz w:val="20"/>
                <w:szCs w:val="20"/>
              </w:rPr>
            </w:pPr>
            <w:r w:rsidRPr="00D67468">
              <w:rPr>
                <w:b w:val="0"/>
                <w:sz w:val="20"/>
                <w:szCs w:val="20"/>
              </w:rPr>
              <w:t>Technologies)</w:t>
            </w:r>
            <w:r w:rsidRPr="00D04DEF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2953" w:type="dxa"/>
          </w:tcPr>
          <w:p w:rsidR="00995FE9" w:rsidRPr="00D67468" w:rsidRDefault="00995FE9" w:rsidP="00240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7468">
              <w:rPr>
                <w:sz w:val="20"/>
                <w:szCs w:val="20"/>
              </w:rPr>
              <w:t xml:space="preserve">• Critical and creative thinking </w:t>
            </w:r>
          </w:p>
          <w:p w:rsidR="00995FE9" w:rsidRPr="00D67468" w:rsidRDefault="00995FE9" w:rsidP="00240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7468">
              <w:rPr>
                <w:sz w:val="20"/>
                <w:szCs w:val="20"/>
              </w:rPr>
              <w:t xml:space="preserve">• Personal and social capability </w:t>
            </w:r>
          </w:p>
          <w:p w:rsidR="00995FE9" w:rsidRPr="00D67468" w:rsidRDefault="00995FE9" w:rsidP="00240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7468">
              <w:rPr>
                <w:sz w:val="20"/>
                <w:szCs w:val="20"/>
              </w:rPr>
              <w:t xml:space="preserve">• Intercultural understanding </w:t>
            </w:r>
          </w:p>
          <w:p w:rsidR="00995FE9" w:rsidRPr="00D67468" w:rsidRDefault="00995FE9" w:rsidP="00240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67468">
              <w:rPr>
                <w:sz w:val="20"/>
                <w:szCs w:val="20"/>
              </w:rPr>
              <w:t xml:space="preserve">• Ethical Understanding </w:t>
            </w:r>
          </w:p>
          <w:p w:rsidR="00995FE9" w:rsidRPr="00D04DEF" w:rsidRDefault="00995FE9" w:rsidP="002409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FE7C56" w:rsidRDefault="00FE7C56" w:rsidP="00353640">
      <w:pPr>
        <w:rPr>
          <w:sz w:val="24"/>
          <w:szCs w:val="24"/>
        </w:rPr>
      </w:pPr>
    </w:p>
    <w:p w:rsidR="00FE7C56" w:rsidRPr="00FE7C56" w:rsidRDefault="00FE7C56" w:rsidP="00FE7C56">
      <w:pPr>
        <w:pStyle w:val="Default"/>
        <w:keepNext/>
        <w:keepLines/>
        <w:rPr>
          <w:rFonts w:asciiTheme="minorHAnsi" w:hAnsiTheme="minorHAnsi"/>
          <w:b/>
        </w:rPr>
      </w:pPr>
      <w:r w:rsidRPr="00FE7C56">
        <w:rPr>
          <w:rFonts w:asciiTheme="minorHAnsi" w:hAnsiTheme="minorHAnsi"/>
          <w:b/>
        </w:rPr>
        <w:t xml:space="preserve">Foundation (Years F–2) </w:t>
      </w:r>
    </w:p>
    <w:p w:rsidR="00FE7C56" w:rsidRPr="00D67468" w:rsidRDefault="00FE7C56" w:rsidP="00FE7C56">
      <w:pPr>
        <w:pStyle w:val="Default"/>
        <w:keepNext/>
        <w:keepLines/>
        <w:rPr>
          <w:rFonts w:asciiTheme="minorHAnsi" w:hAnsiTheme="minorHAnsi"/>
          <w:b/>
        </w:rPr>
      </w:pPr>
      <w:r w:rsidRPr="00D67468">
        <w:rPr>
          <w:rFonts w:asciiTheme="minorHAnsi" w:hAnsiTheme="minorHAnsi"/>
          <w:b/>
        </w:rPr>
        <w:t xml:space="preserve">90. The following are the essential elements of every school’s curriculum plan for the Foundation Years (F−2). They can be structured within a teaching and learning program based on the VEYLDF outcomes (Identity, Connection, Wellbeing, Confidence and Communication) and provides both a common core and flexibility for schools to draw on all the </w:t>
      </w:r>
      <w:proofErr w:type="spellStart"/>
      <w:r w:rsidRPr="00D67468">
        <w:rPr>
          <w:rFonts w:asciiTheme="minorHAnsi" w:hAnsiTheme="minorHAnsi"/>
          <w:b/>
        </w:rPr>
        <w:t>AusVELS</w:t>
      </w:r>
      <w:proofErr w:type="spellEnd"/>
      <w:r w:rsidRPr="00D67468">
        <w:rPr>
          <w:rFonts w:asciiTheme="minorHAnsi" w:hAnsiTheme="minorHAnsi"/>
          <w:b/>
        </w:rPr>
        <w:t xml:space="preserve"> domains to build a curriculum that meets local needs and expectations: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(a) A structured teaching and learning program in English and Mathematics at each year level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(b) Substantial attention to Health and Physical Education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(c) The provision of a Languages program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(d) Substantial attention to The Arts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(e) Substantial attention to Personal and Social Capability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(f) A learning program that draws on the </w:t>
      </w:r>
      <w:proofErr w:type="spellStart"/>
      <w:r w:rsidRPr="00FE7C56">
        <w:rPr>
          <w:rFonts w:asciiTheme="minorHAnsi" w:hAnsiTheme="minorHAnsi"/>
          <w:i/>
        </w:rPr>
        <w:t>AusVELS</w:t>
      </w:r>
      <w:proofErr w:type="spellEnd"/>
      <w:r w:rsidRPr="00FE7C56">
        <w:rPr>
          <w:rFonts w:asciiTheme="minorHAnsi" w:hAnsiTheme="minorHAnsi"/>
          <w:i/>
        </w:rPr>
        <w:t xml:space="preserve"> domains of: </w:t>
      </w:r>
    </w:p>
    <w:p w:rsidR="00FE7C56" w:rsidRPr="00FE7C56" w:rsidRDefault="00FE7C56" w:rsidP="00FE7C56">
      <w:pPr>
        <w:pStyle w:val="Default"/>
        <w:numPr>
          <w:ilvl w:val="1"/>
          <w:numId w:val="7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Humanities </w:t>
      </w:r>
    </w:p>
    <w:p w:rsidR="00FE7C56" w:rsidRPr="00FE7C56" w:rsidRDefault="00FE7C56" w:rsidP="00FE7C56">
      <w:pPr>
        <w:pStyle w:val="Default"/>
        <w:numPr>
          <w:ilvl w:val="1"/>
          <w:numId w:val="7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Science </w:t>
      </w:r>
    </w:p>
    <w:p w:rsidR="00FE7C56" w:rsidRPr="00FE7C56" w:rsidRDefault="00FE7C56" w:rsidP="00FE7C56">
      <w:pPr>
        <w:pStyle w:val="Default"/>
        <w:numPr>
          <w:ilvl w:val="1"/>
          <w:numId w:val="7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lastRenderedPageBreak/>
        <w:t xml:space="preserve">Technologies </w:t>
      </w:r>
    </w:p>
    <w:p w:rsidR="00FE7C56" w:rsidRPr="00FE7C56" w:rsidRDefault="00FE7C56" w:rsidP="00FE7C56">
      <w:pPr>
        <w:pStyle w:val="Default"/>
        <w:numPr>
          <w:ilvl w:val="1"/>
          <w:numId w:val="7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Critical and creative thinking </w:t>
      </w:r>
    </w:p>
    <w:p w:rsidR="00FE7C56" w:rsidRPr="00FE7C56" w:rsidRDefault="00FE7C56" w:rsidP="00FE7C56">
      <w:pPr>
        <w:pStyle w:val="Default"/>
        <w:numPr>
          <w:ilvl w:val="1"/>
          <w:numId w:val="7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Ethical understanding </w:t>
      </w:r>
    </w:p>
    <w:p w:rsidR="00FE7C56" w:rsidRPr="00FE7C56" w:rsidRDefault="00FE7C56" w:rsidP="00FE7C56">
      <w:pPr>
        <w:pStyle w:val="Default"/>
        <w:numPr>
          <w:ilvl w:val="1"/>
          <w:numId w:val="7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>Intercultural understanding</w:t>
      </w:r>
    </w:p>
    <w:p w:rsidR="00FE7C56" w:rsidRPr="00FE7C56" w:rsidRDefault="00FE7C56" w:rsidP="00FE7C56">
      <w:pPr>
        <w:pStyle w:val="Default"/>
        <w:rPr>
          <w:rFonts w:asciiTheme="minorHAnsi" w:hAnsiTheme="minorHAnsi"/>
        </w:rPr>
      </w:pPr>
    </w:p>
    <w:p w:rsidR="00FE7C56" w:rsidRPr="00FE7C56" w:rsidRDefault="00FE7C56" w:rsidP="00FE7C56">
      <w:pPr>
        <w:pStyle w:val="Default"/>
        <w:rPr>
          <w:rFonts w:asciiTheme="minorHAnsi" w:hAnsiTheme="minorHAnsi"/>
          <w:b/>
        </w:rPr>
      </w:pPr>
      <w:r w:rsidRPr="00FE7C56">
        <w:rPr>
          <w:rFonts w:asciiTheme="minorHAnsi" w:hAnsiTheme="minorHAnsi"/>
          <w:b/>
        </w:rPr>
        <w:t xml:space="preserve">Breadth (Years 3–8) </w:t>
      </w:r>
    </w:p>
    <w:p w:rsidR="00FE7C56" w:rsidRPr="00D67468" w:rsidRDefault="00FE7C56" w:rsidP="00FE7C56">
      <w:pPr>
        <w:pStyle w:val="Default"/>
        <w:rPr>
          <w:rFonts w:asciiTheme="minorHAnsi" w:hAnsiTheme="minorHAnsi"/>
          <w:b/>
        </w:rPr>
      </w:pPr>
      <w:r w:rsidRPr="00D67468">
        <w:rPr>
          <w:rFonts w:asciiTheme="minorHAnsi" w:hAnsiTheme="minorHAnsi"/>
          <w:b/>
        </w:rPr>
        <w:t xml:space="preserve">91. In the Breadth Years 3−8, students have the opportunity to fully engage with all </w:t>
      </w:r>
      <w:proofErr w:type="spellStart"/>
      <w:r w:rsidRPr="00D67468">
        <w:rPr>
          <w:rFonts w:asciiTheme="minorHAnsi" w:hAnsiTheme="minorHAnsi"/>
          <w:b/>
        </w:rPr>
        <w:t>AusVELS</w:t>
      </w:r>
      <w:proofErr w:type="spellEnd"/>
      <w:r w:rsidRPr="00D67468">
        <w:rPr>
          <w:rFonts w:asciiTheme="minorHAnsi" w:hAnsiTheme="minorHAnsi"/>
          <w:b/>
        </w:rPr>
        <w:t xml:space="preserve"> domains. Schools should provide: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(a) A structured teaching and learning program in English, Mathematics and Science at each year level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(b) A Health and Physical Education program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(c) A Languages program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(d) A Humanities program that includes in each two-year band of schooling the teaching and reporting of student learning in History, Geography and Civics and Citizenship and, from Year 5, Economics and Business.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(e) An Arts program that at each of Years 3 and 4 includes all five Arts disciplines and at Years 5−6 and 7−8 consists of at least two Arts disciplines, one from the Performing Arts and one from the Visual Arts.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(f) A Technologies program that includes in each two-year band of schooling both Design and Technologies and Digital Technologies </w:t>
      </w:r>
    </w:p>
    <w:p w:rsidR="00FE7C56" w:rsidRPr="00FE7C56" w:rsidRDefault="00FE7C56" w:rsidP="00FE7C56">
      <w:pPr>
        <w:pStyle w:val="Default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(g) A learning program that includes teaching the content and measuring progress of student learning against each of the general capabilities at least every two years: </w:t>
      </w:r>
    </w:p>
    <w:p w:rsidR="00FE7C56" w:rsidRPr="00FE7C56" w:rsidRDefault="00FE7C56" w:rsidP="00FE7C56">
      <w:pPr>
        <w:pStyle w:val="Default"/>
        <w:numPr>
          <w:ilvl w:val="1"/>
          <w:numId w:val="8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Critical and creative thinking </w:t>
      </w:r>
    </w:p>
    <w:p w:rsidR="00FE7C56" w:rsidRPr="00FE7C56" w:rsidRDefault="00FE7C56" w:rsidP="00FE7C56">
      <w:pPr>
        <w:pStyle w:val="Default"/>
        <w:numPr>
          <w:ilvl w:val="1"/>
          <w:numId w:val="8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Personal and social capability </w:t>
      </w:r>
    </w:p>
    <w:p w:rsidR="00FE7C56" w:rsidRPr="00FE7C56" w:rsidRDefault="00FE7C56" w:rsidP="00FE7C56">
      <w:pPr>
        <w:pStyle w:val="Default"/>
        <w:numPr>
          <w:ilvl w:val="1"/>
          <w:numId w:val="8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 xml:space="preserve">Ethical understanding </w:t>
      </w:r>
    </w:p>
    <w:p w:rsidR="00FE7C56" w:rsidRPr="00FE7C56" w:rsidRDefault="00FE7C56" w:rsidP="00FE7C56">
      <w:pPr>
        <w:pStyle w:val="Default"/>
        <w:numPr>
          <w:ilvl w:val="1"/>
          <w:numId w:val="8"/>
        </w:numPr>
        <w:ind w:left="720"/>
        <w:rPr>
          <w:rFonts w:asciiTheme="minorHAnsi" w:hAnsiTheme="minorHAnsi"/>
          <w:i/>
        </w:rPr>
      </w:pPr>
      <w:r w:rsidRPr="00FE7C56">
        <w:rPr>
          <w:rFonts w:asciiTheme="minorHAnsi" w:hAnsiTheme="minorHAnsi"/>
          <w:i/>
        </w:rPr>
        <w:t>Intercultural understanding</w:t>
      </w:r>
    </w:p>
    <w:p w:rsidR="00E45E21" w:rsidRDefault="00E45E21" w:rsidP="00FE7C56">
      <w:pPr>
        <w:rPr>
          <w:sz w:val="24"/>
          <w:szCs w:val="24"/>
        </w:rPr>
      </w:pPr>
    </w:p>
    <w:p w:rsidR="001A6421" w:rsidRDefault="001A6421" w:rsidP="001A6421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Evaluation</w:t>
      </w:r>
    </w:p>
    <w:p w:rsidR="001A6421" w:rsidRDefault="001A6421" w:rsidP="001A642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This policy will be reviewed as part of the 4 year school improvement framework cycle. </w:t>
      </w:r>
    </w:p>
    <w:p w:rsidR="001A6421" w:rsidRPr="001A6421" w:rsidRDefault="001A6421" w:rsidP="001A6421">
      <w:pPr>
        <w:jc w:val="both"/>
        <w:rPr>
          <w:sz w:val="20"/>
          <w:szCs w:val="20"/>
        </w:rPr>
      </w:pPr>
    </w:p>
    <w:p w:rsidR="00353640" w:rsidRPr="00E45E21" w:rsidRDefault="00E45E21" w:rsidP="00E45E21">
      <w:pPr>
        <w:rPr>
          <w:b/>
          <w:sz w:val="28"/>
          <w:szCs w:val="28"/>
        </w:rPr>
      </w:pPr>
      <w:r w:rsidRPr="00E45E21">
        <w:rPr>
          <w:b/>
          <w:sz w:val="28"/>
          <w:szCs w:val="28"/>
        </w:rPr>
        <w:t>References:</w:t>
      </w:r>
    </w:p>
    <w:p w:rsidR="00E45E21" w:rsidRPr="00E45E21" w:rsidRDefault="00E45E21" w:rsidP="00E45E21">
      <w:pPr>
        <w:rPr>
          <w:sz w:val="20"/>
          <w:szCs w:val="20"/>
        </w:rPr>
      </w:pPr>
      <w:r w:rsidRPr="00E45E21">
        <w:rPr>
          <w:sz w:val="20"/>
          <w:szCs w:val="20"/>
        </w:rPr>
        <w:t>ACARA: Australian Curriculum, Assessment &amp; Reporting Association.</w:t>
      </w:r>
    </w:p>
    <w:p w:rsidR="00E45E21" w:rsidRPr="00E45E21" w:rsidRDefault="00E45E21" w:rsidP="00E45E21">
      <w:pPr>
        <w:rPr>
          <w:sz w:val="20"/>
          <w:szCs w:val="20"/>
        </w:rPr>
      </w:pPr>
      <w:proofErr w:type="spellStart"/>
      <w:r w:rsidRPr="00E45E21">
        <w:rPr>
          <w:sz w:val="20"/>
          <w:szCs w:val="20"/>
        </w:rPr>
        <w:t>AusVELS</w:t>
      </w:r>
      <w:proofErr w:type="spellEnd"/>
      <w:r w:rsidRPr="00E45E21">
        <w:rPr>
          <w:sz w:val="20"/>
          <w:szCs w:val="20"/>
        </w:rPr>
        <w:t>: Australian &amp; Victorian Essential Learnings Standards.</w:t>
      </w:r>
    </w:p>
    <w:p w:rsidR="00E45E21" w:rsidRDefault="00E45E21" w:rsidP="00E45E21">
      <w:pPr>
        <w:rPr>
          <w:sz w:val="20"/>
          <w:szCs w:val="20"/>
        </w:rPr>
      </w:pPr>
      <w:proofErr w:type="spellStart"/>
      <w:r w:rsidRPr="00E45E21">
        <w:rPr>
          <w:sz w:val="20"/>
          <w:szCs w:val="20"/>
        </w:rPr>
        <w:t>PoLT</w:t>
      </w:r>
      <w:proofErr w:type="spellEnd"/>
      <w:r w:rsidRPr="00E45E21">
        <w:rPr>
          <w:sz w:val="20"/>
          <w:szCs w:val="20"/>
        </w:rPr>
        <w:t>: Principals of Learning &amp; Teaching</w:t>
      </w:r>
    </w:p>
    <w:p w:rsidR="00E45E21" w:rsidRPr="00E45E21" w:rsidRDefault="00E45E21" w:rsidP="00E45E21">
      <w:pPr>
        <w:rPr>
          <w:sz w:val="20"/>
          <w:szCs w:val="20"/>
        </w:rPr>
      </w:pPr>
      <w:r>
        <w:rPr>
          <w:sz w:val="20"/>
          <w:szCs w:val="20"/>
        </w:rPr>
        <w:t>Awakenings: Diocese of Ballarat</w:t>
      </w:r>
    </w:p>
    <w:sectPr w:rsidR="00E45E21" w:rsidRPr="00E45E21" w:rsidSect="000B0E46">
      <w:footerReference w:type="default" r:id="rId9"/>
      <w:pgSz w:w="11906" w:h="16838"/>
      <w:pgMar w:top="1440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412" w:rsidRDefault="00F64412" w:rsidP="000B0E46">
      <w:pPr>
        <w:spacing w:after="0" w:line="240" w:lineRule="auto"/>
      </w:pPr>
      <w:r>
        <w:separator/>
      </w:r>
    </w:p>
  </w:endnote>
  <w:endnote w:type="continuationSeparator" w:id="0">
    <w:p w:rsidR="00F64412" w:rsidRDefault="00F64412" w:rsidP="000B0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85" w:rsidRDefault="00345285">
    <w:pPr>
      <w:pStyle w:val="Footer"/>
    </w:pPr>
    <w:r>
      <w:t>Ratified by SAC: 2014</w:t>
    </w:r>
  </w:p>
  <w:p w:rsidR="000B0E46" w:rsidRDefault="00345285">
    <w:pPr>
      <w:pStyle w:val="Footer"/>
    </w:pPr>
    <w:r>
      <w:t>Review: 2017</w:t>
    </w:r>
    <w:r w:rsidR="00353640">
      <w:tab/>
    </w:r>
    <w:r w:rsidR="00353640">
      <w:tab/>
      <w:t>Page 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412" w:rsidRDefault="00F64412" w:rsidP="000B0E46">
      <w:pPr>
        <w:spacing w:after="0" w:line="240" w:lineRule="auto"/>
      </w:pPr>
      <w:r>
        <w:separator/>
      </w:r>
    </w:p>
  </w:footnote>
  <w:footnote w:type="continuationSeparator" w:id="0">
    <w:p w:rsidR="00F64412" w:rsidRDefault="00F64412" w:rsidP="000B0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419B"/>
    <w:multiLevelType w:val="hybridMultilevel"/>
    <w:tmpl w:val="D83AE8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BD3065"/>
    <w:multiLevelType w:val="hybridMultilevel"/>
    <w:tmpl w:val="B56201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6A3D5A"/>
    <w:multiLevelType w:val="hybridMultilevel"/>
    <w:tmpl w:val="D84436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30265F"/>
    <w:multiLevelType w:val="hybridMultilevel"/>
    <w:tmpl w:val="8E22273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5A307B"/>
    <w:multiLevelType w:val="hybridMultilevel"/>
    <w:tmpl w:val="406A7B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BE5B6C"/>
    <w:multiLevelType w:val="hybridMultilevel"/>
    <w:tmpl w:val="FA5AE48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68273D"/>
    <w:multiLevelType w:val="hybridMultilevel"/>
    <w:tmpl w:val="077EC032"/>
    <w:lvl w:ilvl="0" w:tplc="398C424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0F2E44"/>
    <w:multiLevelType w:val="hybridMultilevel"/>
    <w:tmpl w:val="3BB29E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EC"/>
    <w:rsid w:val="000B0E46"/>
    <w:rsid w:val="001A6421"/>
    <w:rsid w:val="001F0C7C"/>
    <w:rsid w:val="0027164F"/>
    <w:rsid w:val="002C4119"/>
    <w:rsid w:val="002C48EC"/>
    <w:rsid w:val="00345285"/>
    <w:rsid w:val="00353640"/>
    <w:rsid w:val="00367705"/>
    <w:rsid w:val="003F6D7C"/>
    <w:rsid w:val="004E42A9"/>
    <w:rsid w:val="006823F5"/>
    <w:rsid w:val="00750F8C"/>
    <w:rsid w:val="00815001"/>
    <w:rsid w:val="00874EE4"/>
    <w:rsid w:val="00995FE9"/>
    <w:rsid w:val="00C13389"/>
    <w:rsid w:val="00C24334"/>
    <w:rsid w:val="00C46371"/>
    <w:rsid w:val="00D04DEF"/>
    <w:rsid w:val="00D67468"/>
    <w:rsid w:val="00D900F3"/>
    <w:rsid w:val="00E04456"/>
    <w:rsid w:val="00E272DD"/>
    <w:rsid w:val="00E45E21"/>
    <w:rsid w:val="00F41EA4"/>
    <w:rsid w:val="00F562AE"/>
    <w:rsid w:val="00F64412"/>
    <w:rsid w:val="00FE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0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4D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8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B0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B0E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E46"/>
  </w:style>
  <w:style w:type="paragraph" w:styleId="Footer">
    <w:name w:val="footer"/>
    <w:basedOn w:val="Normal"/>
    <w:link w:val="FooterChar"/>
    <w:uiPriority w:val="99"/>
    <w:unhideWhenUsed/>
    <w:rsid w:val="000B0E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E46"/>
  </w:style>
  <w:style w:type="table" w:styleId="TableGrid">
    <w:name w:val="Table Grid"/>
    <w:basedOn w:val="TableNormal"/>
    <w:uiPriority w:val="59"/>
    <w:rsid w:val="00C13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338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04D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ediumShading1-Accent4">
    <w:name w:val="Medium Shading 1 Accent 4"/>
    <w:basedOn w:val="TableNormal"/>
    <w:uiPriority w:val="63"/>
    <w:rsid w:val="00D04DE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efault">
    <w:name w:val="Default"/>
    <w:rsid w:val="00FE7C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table" w:styleId="MediumList1-Accent4">
    <w:name w:val="Medium List 1 Accent 4"/>
    <w:basedOn w:val="TableNormal"/>
    <w:uiPriority w:val="65"/>
    <w:rsid w:val="00E45E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0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4D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8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B0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B0E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E46"/>
  </w:style>
  <w:style w:type="paragraph" w:styleId="Footer">
    <w:name w:val="footer"/>
    <w:basedOn w:val="Normal"/>
    <w:link w:val="FooterChar"/>
    <w:uiPriority w:val="99"/>
    <w:unhideWhenUsed/>
    <w:rsid w:val="000B0E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E46"/>
  </w:style>
  <w:style w:type="table" w:styleId="TableGrid">
    <w:name w:val="Table Grid"/>
    <w:basedOn w:val="TableNormal"/>
    <w:uiPriority w:val="59"/>
    <w:rsid w:val="00C13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338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04D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ediumShading1-Accent4">
    <w:name w:val="Medium Shading 1 Accent 4"/>
    <w:basedOn w:val="TableNormal"/>
    <w:uiPriority w:val="63"/>
    <w:rsid w:val="00D04DE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efault">
    <w:name w:val="Default"/>
    <w:rsid w:val="00FE7C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table" w:styleId="MediumList1-Accent4">
    <w:name w:val="Medium List 1 Accent 4"/>
    <w:basedOn w:val="TableNormal"/>
    <w:uiPriority w:val="65"/>
    <w:rsid w:val="00E45E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1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</dc:creator>
  <cp:lastModifiedBy>principal</cp:lastModifiedBy>
  <cp:revision>11</cp:revision>
  <dcterms:created xsi:type="dcterms:W3CDTF">2014-06-15T08:03:00Z</dcterms:created>
  <dcterms:modified xsi:type="dcterms:W3CDTF">2015-05-19T02:53:00Z</dcterms:modified>
</cp:coreProperties>
</file>